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5DE1" w14:textId="77777777" w:rsidR="00B11D98" w:rsidRDefault="00B11D98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B11D98">
        <w:rPr>
          <w:rFonts w:ascii="Calibri" w:hAnsi="Calibri" w:cs="Calibri"/>
          <w:color w:val="0043FD" w:themeColor="accent1"/>
          <w:spacing w:val="-3"/>
          <w:sz w:val="40"/>
          <w:szCs w:val="28"/>
        </w:rPr>
        <w:t>L6M10: Global Logistics Strategy</w:t>
      </w:r>
    </w:p>
    <w:p w14:paraId="4E4ABA55" w14:textId="7EC529A3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6C3055DC" w:rsidR="00E046AF" w:rsidRPr="00E046AF" w:rsidRDefault="00B11D98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1D9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the strategic logistical implications of globalisation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54A2CA8E" w:rsidR="00BC1C8F" w:rsidRPr="00835F5B" w:rsidRDefault="00B11D9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Evaluate the logistics challenges that globalisation presents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489B724D" w:rsidR="00BC1C8F" w:rsidRPr="00835F5B" w:rsidRDefault="00B11D9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Assess the structure of a global strategic logistics and supply chain network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31E678DA" w:rsidR="004266EC" w:rsidRPr="00835F5B" w:rsidRDefault="00B11D98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Assess the strategic logistical risks of globalisation and the associated responses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64637416" w:rsidR="00461E4C" w:rsidRPr="00E046AF" w:rsidRDefault="00B11D98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11D9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global governance of the supply chain</w:t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1BBFF6D7" w:rsidR="00461E4C" w:rsidRPr="00B11D98" w:rsidRDefault="00B11D98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Contrast the strategic influences on globalised supply chain governance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EAFE165" w14:textId="53042FF9" w:rsidR="00461E4C" w:rsidRPr="00B11D98" w:rsidRDefault="00B11D9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 Assess</w:t>
            </w:r>
            <w:proofErr w:type="gramEnd"/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impact of international legislation on the globalised supply chain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019BC256" w14:textId="77777777" w:rsidTr="003605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</w:tcPr>
          <w:p w14:paraId="27D7170B" w14:textId="4B27267C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B11D9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concept of reverse logistics and its impact on global logistics strategy</w:t>
            </w:r>
          </w:p>
        </w:tc>
      </w:tr>
      <w:tr w:rsidR="00910988" w14:paraId="0CFBEE4A" w14:textId="77777777" w:rsidTr="00B11D98">
        <w:tc>
          <w:tcPr>
            <w:tcW w:w="5670" w:type="dxa"/>
          </w:tcPr>
          <w:p w14:paraId="6CA0CACA" w14:textId="1D8682FC" w:rsidR="00910988" w:rsidRPr="00B11D98" w:rsidRDefault="00B11D9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Assess the concept and requirements of reverse logistics</w:t>
            </w:r>
          </w:p>
        </w:tc>
        <w:tc>
          <w:tcPr>
            <w:tcW w:w="1560" w:type="dxa"/>
          </w:tcPr>
          <w:p w14:paraId="6F9085B7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6B1B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CBBC902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B1B5FA4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30F19D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B2087A" w14:textId="77777777" w:rsidR="00910988" w:rsidRPr="004660B6" w:rsidRDefault="0091098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B48E33D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5E77DD2D" w14:textId="69C45987" w:rsidR="00B11D98" w:rsidRPr="00B11D98" w:rsidRDefault="00B11D9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Assess the strategic factors which influence reverse logistics</w:t>
            </w:r>
          </w:p>
        </w:tc>
        <w:tc>
          <w:tcPr>
            <w:tcW w:w="1560" w:type="dxa"/>
          </w:tcPr>
          <w:p w14:paraId="376D01DB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D07B9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4E23E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3C3BA0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6C423B7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D9AEB7D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B11D98">
        <w:tc>
          <w:tcPr>
            <w:tcW w:w="5670" w:type="dxa"/>
          </w:tcPr>
          <w:p w14:paraId="16428A48" w14:textId="225428F2" w:rsidR="00B11D98" w:rsidRPr="00B11D98" w:rsidRDefault="00B11D9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Contrast factors that influence strategic reverse logistics</w:t>
            </w:r>
          </w:p>
        </w:tc>
        <w:tc>
          <w:tcPr>
            <w:tcW w:w="1560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18813EB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5791D25B" w14:textId="365DAC28" w:rsidR="00B11D98" w:rsidRPr="00B11D98" w:rsidRDefault="00B11D98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Compare factors which affect the implementation of reverse logistics strategy</w:t>
            </w:r>
          </w:p>
        </w:tc>
        <w:tc>
          <w:tcPr>
            <w:tcW w:w="1560" w:type="dxa"/>
          </w:tcPr>
          <w:p w14:paraId="103FBEA9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2057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18057D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79757DD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4128FC1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21AA1E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EC30F0" w14:textId="73145B95" w:rsidR="00333546" w:rsidRPr="00931746" w:rsidRDefault="00461E4C" w:rsidP="00C9142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4523"/>
    <w:rsid w:val="005E7816"/>
    <w:rsid w:val="0061501A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96842-04BF-4669-99E8-E244E9163414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4</TotalTime>
  <Pages>2</Pages>
  <Words>223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2023-09-04T15:14:00Z</dcterms:created>
  <dcterms:modified xsi:type="dcterms:W3CDTF">2023-09-04T15:18:00Z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