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DDF" w14:textId="77777777" w:rsidR="00333546" w:rsidRDefault="00333546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333546">
        <w:rPr>
          <w:rFonts w:ascii="Calibri" w:hAnsi="Calibri" w:cs="Calibri"/>
          <w:color w:val="0043FD" w:themeColor="accent1"/>
          <w:spacing w:val="-3"/>
          <w:sz w:val="40"/>
          <w:szCs w:val="28"/>
        </w:rPr>
        <w:t>L6M3: Global Strategic Supply Chain Management</w:t>
      </w:r>
      <w:r w:rsidRPr="00333546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3A4A688A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1924580C" w:rsidR="00E046AF" w:rsidRPr="00E046AF" w:rsidRDefault="00333546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how strategic supply chain management can support corporate business strategy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463C864F" w:rsidR="00BC1C8F" w:rsidRPr="00E046AF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1.1 Assess the relationship between functional, </w:t>
            </w:r>
            <w:proofErr w:type="gramStart"/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business</w:t>
            </w:r>
            <w:proofErr w:type="gramEnd"/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and corporate levels of strategy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4E3C9C2A" w:rsidR="00BC1C8F" w:rsidRPr="00E046AF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 Evaluate the contribution of strategic supply chain management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7B332214" w:rsidR="004266EC" w:rsidRPr="0003099A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Evaluate the impact of market change on strategic supply chain management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6884A81C" w14:textId="77777777" w:rsidTr="004E40C3">
        <w:tc>
          <w:tcPr>
            <w:tcW w:w="5387" w:type="dxa"/>
          </w:tcPr>
          <w:p w14:paraId="7D0C778B" w14:textId="4AFBCCCF" w:rsidR="004266EC" w:rsidRPr="0003099A" w:rsidRDefault="0033354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1.4 Contrast approaches to develop and </w:t>
            </w:r>
            <w:proofErr w:type="gramStart"/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implement  strategic</w:t>
            </w:r>
            <w:proofErr w:type="gramEnd"/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relationship management</w:t>
            </w:r>
          </w:p>
        </w:tc>
        <w:tc>
          <w:tcPr>
            <w:tcW w:w="1843" w:type="dxa"/>
          </w:tcPr>
          <w:p w14:paraId="625300F0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7D154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64AB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D6C7DEF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98C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323E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3AA9131D" w:rsidR="00461E4C" w:rsidRPr="00E046AF" w:rsidRDefault="00333546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and apply supply chain design tools and techniques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40E48EA1" w:rsidR="00461E4C" w:rsidRPr="00E046AF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Compare approaches to segmentation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342E8B4E" w:rsidR="00461E4C" w:rsidRPr="00E046AF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Assess approaches to developing networked supply chains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71B69228" w:rsidR="005D4523" w:rsidRPr="00526EF3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Assess the role of distribution systems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5665E0BF" w14:textId="77777777" w:rsidTr="004E40C3">
        <w:tc>
          <w:tcPr>
            <w:tcW w:w="5387" w:type="dxa"/>
          </w:tcPr>
          <w:p w14:paraId="39077AFB" w14:textId="0B6004C4" w:rsidR="004266EC" w:rsidRPr="0003099A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2.4 Evaluate ways to achieve lean and agile supply chains</w:t>
            </w:r>
          </w:p>
        </w:tc>
        <w:tc>
          <w:tcPr>
            <w:tcW w:w="1843" w:type="dxa"/>
          </w:tcPr>
          <w:p w14:paraId="6F05BF34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52DC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AA0F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E3EAE06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A70B4C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694AC3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577DC287" w:rsidR="004D5600" w:rsidRPr="00E046AF" w:rsidRDefault="00333546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and apply techniques to achieve effective strategic supply chain management</w:t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6C6EF382" w:rsidR="004D5600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Evaluate approaches to developing and implementing supply chain collaboration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6A3CE6E8" w:rsidR="004D5600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Evaluate approaches to change management when working with stakeholders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580BB76" w14:textId="15A99D9C" w:rsidR="004D5600" w:rsidRPr="00526EF3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Analyse approaches to measuring supply chain performance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63CABB46" w:rsidR="00060DBD" w:rsidRPr="00060DBD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3.4 Analyse how the development of knowledge and skills can help achieve effective strategic supply chain management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D1BBAF" w14:textId="374F7A7D" w:rsidR="00333546" w:rsidRDefault="004D5600" w:rsidP="009317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F1ADDA8" w14:textId="77777777" w:rsidR="00333546" w:rsidRDefault="00333546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33546" w14:paraId="777A558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A1E563B" w14:textId="77777777" w:rsidR="00333546" w:rsidRPr="004660B6" w:rsidRDefault="00333546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8DEF6C4" w14:textId="77777777" w:rsidR="00333546" w:rsidRPr="004660B6" w:rsidRDefault="00333546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CAD952C" w14:textId="77777777" w:rsidR="00333546" w:rsidRPr="00BC1C8F" w:rsidRDefault="00333546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7A4075E6" w14:textId="77777777" w:rsidR="00333546" w:rsidRPr="003809AC" w:rsidRDefault="00333546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15F7EC3F" w14:textId="77777777" w:rsidR="00333546" w:rsidRPr="004660B6" w:rsidRDefault="00333546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32EF1BE" w14:textId="77777777" w:rsidR="00333546" w:rsidRPr="004660B6" w:rsidRDefault="00333546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AFD0375" w14:textId="77777777" w:rsidR="00333546" w:rsidRPr="004660B6" w:rsidRDefault="00333546" w:rsidP="00D855B5">
            <w:pPr>
              <w:pStyle w:val="Tableheading"/>
            </w:pPr>
            <w:r w:rsidRPr="008F4CFD">
              <w:t>Learning hours</w:t>
            </w:r>
          </w:p>
        </w:tc>
      </w:tr>
      <w:tr w:rsidR="00333546" w14:paraId="69C2133A" w14:textId="77777777" w:rsidTr="00D855B5">
        <w:tc>
          <w:tcPr>
            <w:tcW w:w="14034" w:type="dxa"/>
            <w:gridSpan w:val="7"/>
          </w:tcPr>
          <w:p w14:paraId="2B2FF476" w14:textId="6CDAEBE7" w:rsidR="00333546" w:rsidRPr="00E046AF" w:rsidRDefault="00333546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3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and apply methods to measure, improve and optimise supply chain performance</w:t>
            </w:r>
          </w:p>
        </w:tc>
      </w:tr>
      <w:tr w:rsidR="00333546" w14:paraId="616D66FE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55689965" w14:textId="6F057262" w:rsidR="00333546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4.1 Evaluate the impact of the supply chain on corporate performance</w:t>
            </w:r>
          </w:p>
        </w:tc>
        <w:tc>
          <w:tcPr>
            <w:tcW w:w="1843" w:type="dxa"/>
          </w:tcPr>
          <w:p w14:paraId="28D1A52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B9FE3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59980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F29686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2964168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9580967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546" w14:paraId="3C10DE13" w14:textId="77777777" w:rsidTr="00D855B5">
        <w:tc>
          <w:tcPr>
            <w:tcW w:w="5387" w:type="dxa"/>
          </w:tcPr>
          <w:p w14:paraId="3D150F6A" w14:textId="296AF6DD" w:rsidR="00333546" w:rsidRPr="00E046AF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4.2 Assess methods to measure supply chain performance</w:t>
            </w:r>
          </w:p>
        </w:tc>
        <w:tc>
          <w:tcPr>
            <w:tcW w:w="1843" w:type="dxa"/>
          </w:tcPr>
          <w:p w14:paraId="6BFD39FC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668A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092B3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CC2D35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4EF1BA0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403AD0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546" w14:paraId="774C1BC3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6E244927" w14:textId="3CC2A6C1" w:rsidR="00333546" w:rsidRPr="00526EF3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4.3 Assess methods to improve and optimise supply chain performance</w:t>
            </w:r>
          </w:p>
        </w:tc>
        <w:tc>
          <w:tcPr>
            <w:tcW w:w="1843" w:type="dxa"/>
          </w:tcPr>
          <w:p w14:paraId="01175D99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E76F1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D5FCE1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C53166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8E94D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AF154B9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74345978" w14:textId="77777777" w:rsidTr="00D855B5">
        <w:tc>
          <w:tcPr>
            <w:tcW w:w="5387" w:type="dxa"/>
          </w:tcPr>
          <w:p w14:paraId="53BF3F73" w14:textId="7EDA3616" w:rsidR="00060DBD" w:rsidRPr="0024551E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4.4 Assess tools and techniques that are available to help the organisation to achieve strategic fit</w:t>
            </w:r>
          </w:p>
        </w:tc>
        <w:tc>
          <w:tcPr>
            <w:tcW w:w="1843" w:type="dxa"/>
          </w:tcPr>
          <w:p w14:paraId="6AF1F637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7F9B35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722A94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FD83FF0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619C1A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5276AA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1319E351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02FDE57" w14:textId="29B0DB25" w:rsidR="00060DBD" w:rsidRPr="0024551E" w:rsidRDefault="00060DBD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60DB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4.5 Assess the challenges to achieving and maintaining strategic fit</w:t>
            </w:r>
          </w:p>
        </w:tc>
        <w:tc>
          <w:tcPr>
            <w:tcW w:w="1843" w:type="dxa"/>
          </w:tcPr>
          <w:p w14:paraId="47716E5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A21AE7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EEF35A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7FA7898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EF14234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8857658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7777777" w:rsidR="00333546" w:rsidRPr="00931746" w:rsidRDefault="00333546" w:rsidP="003335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B46E8-19D8-4D4A-AE36-34B8BA7E7416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2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4</cp:revision>
  <cp:lastPrinted>2021-03-31T09:50:00Z</cp:lastPrinted>
  <dcterms:created xsi:type="dcterms:W3CDTF">2023-09-04T14:16:00Z</dcterms:created>
  <dcterms:modified xsi:type="dcterms:W3CDTF">2023-09-04T14:20:00Z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