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1B03" w14:textId="77777777" w:rsidR="001C6A5B" w:rsidRPr="001C6A5B" w:rsidRDefault="001C6A5B" w:rsidP="001C6A5B">
      <w:pPr>
        <w:pStyle w:val="Heading1"/>
        <w:rPr>
          <w:rFonts w:ascii="Calibri" w:hAnsi="Calibri" w:cs="Calibri"/>
          <w:sz w:val="52"/>
          <w:szCs w:val="52"/>
        </w:rPr>
      </w:pPr>
      <w:r w:rsidRPr="001C6A5B">
        <w:rPr>
          <w:rFonts w:ascii="Calibri" w:hAnsi="Calibri" w:cs="Calibri"/>
          <w:sz w:val="52"/>
          <w:szCs w:val="52"/>
        </w:rPr>
        <w:t>Procurement Benefits Tracker – Multi Academy Trusts</w:t>
      </w:r>
    </w:p>
    <w:p w14:paraId="377600E1" w14:textId="77777777" w:rsidR="001C6A5B" w:rsidRPr="00AA7F25" w:rsidRDefault="001C6A5B" w:rsidP="001C6A5B">
      <w:pPr>
        <w:rPr>
          <w:rFonts w:cs="Calibri"/>
        </w:rPr>
      </w:pPr>
      <w:r>
        <w:rPr>
          <w:rFonts w:cs="Calibri"/>
        </w:rPr>
        <w:t>T</w:t>
      </w:r>
      <w:r w:rsidRPr="00AA7F25">
        <w:rPr>
          <w:rFonts w:cs="Calibri"/>
        </w:rPr>
        <w:t>his blueprint is designed to help Multi Academy Trusts (MATs) track, evidence and report on the full range of benefits derived from procurement activity and influence. It moves beyond traditional cost savings and embraces a broader value-for-money perspective, encompassing social, environmental and strategic outcomes. The framework promotes consistent benefit tracking across schools within the Trust, while being proportionate and practical to implement.</w:t>
      </w:r>
    </w:p>
    <w:p w14:paraId="450C99D2" w14:textId="77777777" w:rsidR="001C6A5B" w:rsidRPr="00AA7F25" w:rsidRDefault="001C6A5B" w:rsidP="001C6A5B">
      <w:pPr>
        <w:pStyle w:val="Heading1"/>
        <w:rPr>
          <w:rFonts w:ascii="Calibri" w:hAnsi="Calibri" w:cs="Calibri"/>
          <w:sz w:val="32"/>
          <w:szCs w:val="32"/>
        </w:rPr>
      </w:pPr>
      <w:r w:rsidRPr="00AA7F25">
        <w:rPr>
          <w:rFonts w:ascii="Calibri" w:hAnsi="Calibri" w:cs="Calibri"/>
          <w:sz w:val="32"/>
          <w:szCs w:val="32"/>
        </w:rPr>
        <w:t>1. Purpose of the Framework</w:t>
      </w:r>
    </w:p>
    <w:p w14:paraId="0F75DE37" w14:textId="77777777" w:rsidR="001C6A5B" w:rsidRDefault="001C6A5B" w:rsidP="001C6A5B">
      <w:pPr>
        <w:rPr>
          <w:rFonts w:cs="Calibri"/>
        </w:rPr>
      </w:pPr>
      <w:r w:rsidRPr="00AA7F25">
        <w:rPr>
          <w:rFonts w:cs="Calibri"/>
        </w:rPr>
        <w:t>To provide a consistent, evidence-based approach for MATs to track and report on both financial and non-financial benefits derived from procurement activity, including areas where the Trust has influenced outcomes without being the direct contracting authority.</w:t>
      </w:r>
    </w:p>
    <w:p w14:paraId="37DA9E0D" w14:textId="77777777" w:rsidR="001C6A5B" w:rsidRPr="00AA7F25" w:rsidRDefault="001C6A5B" w:rsidP="001C6A5B">
      <w:pPr>
        <w:pStyle w:val="Heading1"/>
        <w:rPr>
          <w:rFonts w:ascii="Calibri" w:hAnsi="Calibri" w:cs="Calibri"/>
          <w:sz w:val="32"/>
          <w:szCs w:val="32"/>
        </w:rPr>
      </w:pPr>
      <w:r w:rsidRPr="00AA7F25">
        <w:rPr>
          <w:rFonts w:ascii="Calibri" w:hAnsi="Calibri" w:cs="Calibri"/>
          <w:sz w:val="32"/>
          <w:szCs w:val="32"/>
        </w:rPr>
        <w:t>2. Key Principles</w:t>
      </w:r>
    </w:p>
    <w:p w14:paraId="58EE29CB" w14:textId="77777777" w:rsidR="001C6A5B" w:rsidRPr="00AA7F25" w:rsidRDefault="001C6A5B" w:rsidP="001C6A5B">
      <w:pPr>
        <w:pStyle w:val="ListBullet"/>
        <w:numPr>
          <w:ilvl w:val="0"/>
          <w:numId w:val="32"/>
        </w:numPr>
        <w:rPr>
          <w:rFonts w:ascii="Calibri" w:hAnsi="Calibri" w:cs="Calibri"/>
          <w:lang w:val="en-GB"/>
        </w:rPr>
      </w:pPr>
      <w:r w:rsidRPr="00AA7F25">
        <w:rPr>
          <w:rFonts w:ascii="Calibri" w:hAnsi="Calibri" w:cs="Calibri"/>
          <w:lang w:val="en-GB"/>
        </w:rPr>
        <w:t>Whole-life value focus, not just upfront cost</w:t>
      </w:r>
    </w:p>
    <w:p w14:paraId="43C63F1E" w14:textId="77777777" w:rsidR="001C6A5B" w:rsidRPr="00AA7F25" w:rsidRDefault="001C6A5B" w:rsidP="001C6A5B">
      <w:pPr>
        <w:pStyle w:val="ListBullet"/>
        <w:numPr>
          <w:ilvl w:val="0"/>
          <w:numId w:val="32"/>
        </w:numPr>
        <w:rPr>
          <w:rFonts w:ascii="Calibri" w:hAnsi="Calibri" w:cs="Calibri"/>
          <w:lang w:val="en-GB"/>
        </w:rPr>
      </w:pPr>
      <w:r w:rsidRPr="00AA7F25">
        <w:rPr>
          <w:rFonts w:ascii="Calibri" w:hAnsi="Calibri" w:cs="Calibri"/>
          <w:lang w:val="en-GB"/>
        </w:rPr>
        <w:t>Influence-based tracking, not just where the Trust is the direct buyer</w:t>
      </w:r>
    </w:p>
    <w:p w14:paraId="27702ABB" w14:textId="77777777" w:rsidR="001C6A5B" w:rsidRPr="00AA7F25" w:rsidRDefault="001C6A5B" w:rsidP="001C6A5B">
      <w:pPr>
        <w:pStyle w:val="ListBullet"/>
        <w:numPr>
          <w:ilvl w:val="0"/>
          <w:numId w:val="32"/>
        </w:numPr>
        <w:rPr>
          <w:rFonts w:ascii="Calibri" w:hAnsi="Calibri" w:cs="Calibri"/>
          <w:lang w:val="en-GB"/>
        </w:rPr>
      </w:pPr>
      <w:r w:rsidRPr="00AA7F25">
        <w:rPr>
          <w:rFonts w:ascii="Calibri" w:hAnsi="Calibri" w:cs="Calibri"/>
          <w:lang w:val="en-GB"/>
        </w:rPr>
        <w:t>Social return as standard, not as an add-on</w:t>
      </w:r>
    </w:p>
    <w:p w14:paraId="152410B1" w14:textId="77777777" w:rsidR="001C6A5B" w:rsidRPr="00AA7F25" w:rsidRDefault="001C6A5B" w:rsidP="001C6A5B">
      <w:pPr>
        <w:pStyle w:val="ListBullet"/>
        <w:numPr>
          <w:ilvl w:val="0"/>
          <w:numId w:val="32"/>
        </w:numPr>
        <w:rPr>
          <w:rFonts w:ascii="Calibri" w:hAnsi="Calibri" w:cs="Calibri"/>
          <w:lang w:val="en-GB"/>
        </w:rPr>
      </w:pPr>
      <w:r w:rsidRPr="00AA7F25">
        <w:rPr>
          <w:rFonts w:ascii="Calibri" w:hAnsi="Calibri" w:cs="Calibri"/>
          <w:lang w:val="en-GB"/>
        </w:rPr>
        <w:t>Consistency and comparability across academies within the Trust</w:t>
      </w:r>
    </w:p>
    <w:p w14:paraId="23A11817" w14:textId="77777777" w:rsidR="001C6A5B" w:rsidRPr="00AA7F25" w:rsidRDefault="001C6A5B" w:rsidP="001C6A5B">
      <w:pPr>
        <w:pStyle w:val="ListBullet"/>
        <w:numPr>
          <w:ilvl w:val="0"/>
          <w:numId w:val="32"/>
        </w:numPr>
        <w:rPr>
          <w:rFonts w:ascii="Calibri" w:hAnsi="Calibri" w:cs="Calibri"/>
          <w:lang w:val="en-GB"/>
        </w:rPr>
      </w:pPr>
      <w:r w:rsidRPr="00AA7F25">
        <w:rPr>
          <w:rFonts w:ascii="Calibri" w:hAnsi="Calibri" w:cs="Calibri"/>
          <w:lang w:val="en-GB"/>
        </w:rPr>
        <w:t>Evidence-led, but proportionate and realistic to collect</w:t>
      </w:r>
    </w:p>
    <w:p w14:paraId="7625F043" w14:textId="77777777" w:rsidR="001C6A5B" w:rsidRPr="00AA7F25" w:rsidRDefault="001C6A5B" w:rsidP="001C6A5B">
      <w:pPr>
        <w:pStyle w:val="Heading1"/>
        <w:rPr>
          <w:rFonts w:ascii="Calibri" w:hAnsi="Calibri" w:cs="Calibri"/>
          <w:sz w:val="32"/>
          <w:szCs w:val="32"/>
        </w:rPr>
      </w:pPr>
      <w:r w:rsidRPr="00AA7F25">
        <w:rPr>
          <w:rFonts w:ascii="Calibri" w:hAnsi="Calibri" w:cs="Calibri"/>
          <w:sz w:val="32"/>
          <w:szCs w:val="32"/>
        </w:rPr>
        <w:t>3. Benefit Categories &amp; Metrics</w:t>
      </w:r>
    </w:p>
    <w:p w14:paraId="287F263D" w14:textId="77777777" w:rsidR="001C6A5B" w:rsidRPr="001C6A5B" w:rsidRDefault="001C6A5B" w:rsidP="001C6A5B">
      <w:pPr>
        <w:pStyle w:val="Heading2"/>
        <w:rPr>
          <w:rFonts w:ascii="Calibri" w:hAnsi="Calibri" w:cs="Calibri"/>
          <w:sz w:val="28"/>
          <w:szCs w:val="28"/>
        </w:rPr>
      </w:pPr>
      <w:r w:rsidRPr="001C6A5B">
        <w:rPr>
          <w:rFonts w:ascii="Calibri" w:hAnsi="Calibri" w:cs="Calibri"/>
          <w:sz w:val="28"/>
          <w:szCs w:val="28"/>
        </w:rPr>
        <w:t>A. Financial Benefits</w:t>
      </w:r>
    </w:p>
    <w:p w14:paraId="30EABB37" w14:textId="77777777" w:rsidR="001C6A5B" w:rsidRPr="00AA7F25" w:rsidRDefault="001C6A5B" w:rsidP="001C6A5B">
      <w:pPr>
        <w:rPr>
          <w:rFonts w:cs="Calibri"/>
        </w:rPr>
      </w:pPr>
      <w:r w:rsidRPr="00AA7F25">
        <w:rPr>
          <w:rFonts w:cs="Calibri"/>
        </w:rPr>
        <w:t>Financial benefits refer to measurable savings or efficiencies gained from procurement activity. These include direct cost reductions, avoidance of potential future costs, and operational efficiencies that reduce resource requirements. Below are common types of financial benefits and how to calculate them:</w:t>
      </w:r>
    </w:p>
    <w:p w14:paraId="381D0AA4" w14:textId="77777777" w:rsidR="001C6A5B" w:rsidRPr="00AA7F25" w:rsidRDefault="001C6A5B" w:rsidP="001C6A5B">
      <w:pPr>
        <w:pStyle w:val="ListParagraph"/>
        <w:numPr>
          <w:ilvl w:val="0"/>
          <w:numId w:val="25"/>
        </w:numPr>
        <w:tabs>
          <w:tab w:val="clear" w:pos="284"/>
        </w:tabs>
        <w:spacing w:afterLines="0" w:after="200" w:line="276" w:lineRule="auto"/>
        <w:rPr>
          <w:rFonts w:cs="Calibri"/>
        </w:rPr>
      </w:pPr>
      <w:r w:rsidRPr="00AA7F25">
        <w:rPr>
          <w:rFonts w:cs="Calibri"/>
        </w:rPr>
        <w:t xml:space="preserve">Cost Savings: Measured by comparing previous contract spend with current spend. Example: Previous cost £100,000, new contract £85,000 = £15,000 saving. NB: these should be balanced with economic conditions at the time of spend comparison (eg inflation may fluctuate and affect costs) </w:t>
      </w:r>
    </w:p>
    <w:p w14:paraId="4D2E115D" w14:textId="77777777" w:rsidR="001C6A5B" w:rsidRPr="00AA7F25" w:rsidRDefault="001C6A5B" w:rsidP="001C6A5B">
      <w:pPr>
        <w:pStyle w:val="ListParagraph"/>
        <w:numPr>
          <w:ilvl w:val="0"/>
          <w:numId w:val="25"/>
        </w:numPr>
        <w:tabs>
          <w:tab w:val="clear" w:pos="284"/>
        </w:tabs>
        <w:spacing w:afterLines="0" w:after="200" w:line="276" w:lineRule="auto"/>
        <w:rPr>
          <w:rFonts w:cs="Calibri"/>
        </w:rPr>
      </w:pPr>
      <w:r w:rsidRPr="00AA7F25">
        <w:rPr>
          <w:rFonts w:cs="Calibri"/>
        </w:rPr>
        <w:lastRenderedPageBreak/>
        <w:t>Cost Avoidance: Demonstrated by actions that prevent increased costs, such as early engagement with the market or reduced usage of goods/services (such as energy for example). Measured through quote comparisons and market intelligence and usage data.</w:t>
      </w:r>
    </w:p>
    <w:p w14:paraId="7B5D0A2D" w14:textId="77777777" w:rsidR="001C6A5B" w:rsidRPr="00AA7F25" w:rsidRDefault="001C6A5B" w:rsidP="001C6A5B">
      <w:pPr>
        <w:pStyle w:val="ListParagraph"/>
        <w:numPr>
          <w:ilvl w:val="0"/>
          <w:numId w:val="25"/>
        </w:numPr>
        <w:tabs>
          <w:tab w:val="clear" w:pos="284"/>
        </w:tabs>
        <w:spacing w:afterLines="0" w:after="200" w:line="276" w:lineRule="auto"/>
        <w:rPr>
          <w:rFonts w:cs="Calibri"/>
        </w:rPr>
      </w:pPr>
      <w:r w:rsidRPr="00AA7F25">
        <w:rPr>
          <w:rFonts w:cs="Calibri"/>
        </w:rPr>
        <w:t>Process Efficiencies: Hours saved through streamlined processes (e.g., digital procurement tools) multiplied by staff hourly rates.</w:t>
      </w:r>
    </w:p>
    <w:p w14:paraId="3B5C680B" w14:textId="77777777" w:rsidR="001C6A5B" w:rsidRDefault="001C6A5B" w:rsidP="001C6A5B">
      <w:pPr>
        <w:pStyle w:val="ListParagraph"/>
        <w:numPr>
          <w:ilvl w:val="0"/>
          <w:numId w:val="25"/>
        </w:numPr>
        <w:tabs>
          <w:tab w:val="clear" w:pos="284"/>
        </w:tabs>
        <w:spacing w:afterLines="0" w:after="200" w:line="276" w:lineRule="auto"/>
        <w:rPr>
          <w:rFonts w:cs="Calibri"/>
        </w:rPr>
      </w:pPr>
      <w:r w:rsidRPr="00AA7F25">
        <w:rPr>
          <w:rFonts w:cs="Calibri"/>
        </w:rPr>
        <w:t>Income Generation: Includes rebates or grant funding secured as a result of procurement activity. Measured via financial records.</w:t>
      </w:r>
    </w:p>
    <w:p w14:paraId="63104609" w14:textId="77777777" w:rsidR="001C6A5B" w:rsidRDefault="001C6A5B" w:rsidP="001C6A5B">
      <w:pPr>
        <w:spacing w:after="200" w:line="276" w:lineRule="auto"/>
        <w:rPr>
          <w:rFonts w:cs="Calibri"/>
        </w:rPr>
      </w:pPr>
    </w:p>
    <w:p w14:paraId="025BB186" w14:textId="77777777" w:rsidR="001C6A5B" w:rsidRPr="00AA7F25" w:rsidRDefault="001C6A5B" w:rsidP="001C6A5B">
      <w:pPr>
        <w:spacing w:after="200" w:line="276" w:lineRule="auto"/>
        <w:rPr>
          <w:rFonts w:cs="Calibri"/>
        </w:rPr>
      </w:pPr>
    </w:p>
    <w:tbl>
      <w:tblPr>
        <w:tblStyle w:val="TableGrid"/>
        <w:tblW w:w="0" w:type="auto"/>
        <w:tblLook w:val="04A0" w:firstRow="1" w:lastRow="0" w:firstColumn="1" w:lastColumn="0" w:noHBand="0" w:noVBand="1"/>
      </w:tblPr>
      <w:tblGrid>
        <w:gridCol w:w="2160"/>
        <w:gridCol w:w="2160"/>
        <w:gridCol w:w="2160"/>
        <w:gridCol w:w="2160"/>
      </w:tblGrid>
      <w:tr w:rsidR="001C6A5B" w:rsidRPr="00AA7F25" w14:paraId="217AA49D" w14:textId="77777777" w:rsidTr="00C04D8E">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575757" w:themeFill="text2"/>
          </w:tcPr>
          <w:p w14:paraId="12B60486" w14:textId="77777777" w:rsidR="001C6A5B" w:rsidRPr="00AA7F25" w:rsidRDefault="001C6A5B" w:rsidP="00C04D8E">
            <w:pPr>
              <w:rPr>
                <w:rFonts w:cs="Calibri"/>
                <w:color w:val="FFFFFF" w:themeColor="background1"/>
              </w:rPr>
            </w:pPr>
            <w:r w:rsidRPr="00AA7F25">
              <w:rPr>
                <w:rFonts w:cs="Calibri"/>
                <w:color w:val="FFFFFF" w:themeColor="background1"/>
              </w:rPr>
              <w:t>Type</w:t>
            </w:r>
          </w:p>
        </w:tc>
        <w:tc>
          <w:tcPr>
            <w:tcW w:w="2160" w:type="dxa"/>
            <w:shd w:val="clear" w:color="auto" w:fill="575757" w:themeFill="text2"/>
          </w:tcPr>
          <w:p w14:paraId="6BD84DEA" w14:textId="77777777" w:rsidR="001C6A5B" w:rsidRPr="00AA7F25" w:rsidRDefault="001C6A5B" w:rsidP="00C04D8E">
            <w:pPr>
              <w:rPr>
                <w:rFonts w:cs="Calibri"/>
                <w:color w:val="FFFFFF" w:themeColor="background1"/>
              </w:rPr>
            </w:pPr>
            <w:r w:rsidRPr="00AA7F25">
              <w:rPr>
                <w:rFonts w:cs="Calibri"/>
                <w:color w:val="FFFFFF" w:themeColor="background1"/>
              </w:rPr>
              <w:t>Example Metrics</w:t>
            </w:r>
          </w:p>
        </w:tc>
        <w:tc>
          <w:tcPr>
            <w:tcW w:w="2160" w:type="dxa"/>
            <w:shd w:val="clear" w:color="auto" w:fill="575757" w:themeFill="text2"/>
          </w:tcPr>
          <w:p w14:paraId="6431F48E" w14:textId="77777777" w:rsidR="001C6A5B" w:rsidRPr="00AA7F25" w:rsidRDefault="001C6A5B" w:rsidP="00C04D8E">
            <w:pPr>
              <w:rPr>
                <w:rFonts w:cs="Calibri"/>
                <w:color w:val="FFFFFF" w:themeColor="background1"/>
              </w:rPr>
            </w:pPr>
            <w:r w:rsidRPr="00AA7F25">
              <w:rPr>
                <w:rFonts w:cs="Calibri"/>
                <w:color w:val="FFFFFF" w:themeColor="background1"/>
              </w:rPr>
              <w:t>How to Measure</w:t>
            </w:r>
          </w:p>
        </w:tc>
        <w:tc>
          <w:tcPr>
            <w:tcW w:w="2160" w:type="dxa"/>
            <w:shd w:val="clear" w:color="auto" w:fill="575757" w:themeFill="text2"/>
          </w:tcPr>
          <w:p w14:paraId="6B7FD0D0" w14:textId="77777777" w:rsidR="001C6A5B" w:rsidRPr="00AA7F25" w:rsidRDefault="001C6A5B" w:rsidP="00C04D8E">
            <w:pPr>
              <w:rPr>
                <w:rFonts w:cs="Calibri"/>
                <w:color w:val="FFFFFF" w:themeColor="background1"/>
              </w:rPr>
            </w:pPr>
            <w:r w:rsidRPr="00AA7F25">
              <w:rPr>
                <w:rFonts w:cs="Calibri"/>
                <w:color w:val="FFFFFF" w:themeColor="background1"/>
              </w:rPr>
              <w:t>Frequency</w:t>
            </w:r>
          </w:p>
        </w:tc>
      </w:tr>
      <w:tr w:rsidR="001C6A5B" w:rsidRPr="00AA7F25" w14:paraId="677779E3" w14:textId="77777777" w:rsidTr="00C04D8E">
        <w:tc>
          <w:tcPr>
            <w:tcW w:w="2160" w:type="dxa"/>
          </w:tcPr>
          <w:p w14:paraId="7909E7FC" w14:textId="77777777" w:rsidR="001C6A5B" w:rsidRPr="00AA7F25" w:rsidRDefault="001C6A5B" w:rsidP="00C04D8E">
            <w:pPr>
              <w:rPr>
                <w:rFonts w:cs="Calibri"/>
              </w:rPr>
            </w:pPr>
            <w:r w:rsidRPr="00AA7F25">
              <w:rPr>
                <w:rFonts w:cs="Calibri"/>
              </w:rPr>
              <w:t>Cost savings</w:t>
            </w:r>
          </w:p>
        </w:tc>
        <w:tc>
          <w:tcPr>
            <w:tcW w:w="2160" w:type="dxa"/>
          </w:tcPr>
          <w:p w14:paraId="0C159D4B" w14:textId="77777777" w:rsidR="001C6A5B" w:rsidRPr="00AA7F25" w:rsidRDefault="001C6A5B" w:rsidP="00C04D8E">
            <w:pPr>
              <w:rPr>
                <w:rFonts w:cs="Calibri"/>
              </w:rPr>
            </w:pPr>
            <w:r w:rsidRPr="00AA7F25">
              <w:rPr>
                <w:rFonts w:cs="Calibri"/>
              </w:rPr>
              <w:t>% reduction against previous contract cost</w:t>
            </w:r>
          </w:p>
        </w:tc>
        <w:tc>
          <w:tcPr>
            <w:tcW w:w="2160" w:type="dxa"/>
          </w:tcPr>
          <w:p w14:paraId="34400BB5" w14:textId="77777777" w:rsidR="001C6A5B" w:rsidRPr="00AA7F25" w:rsidRDefault="001C6A5B" w:rsidP="00C04D8E">
            <w:pPr>
              <w:rPr>
                <w:rFonts w:cs="Calibri"/>
              </w:rPr>
            </w:pPr>
            <w:r w:rsidRPr="00AA7F25">
              <w:rPr>
                <w:rFonts w:cs="Calibri"/>
              </w:rPr>
              <w:t>Baseline vs current cost</w:t>
            </w:r>
          </w:p>
        </w:tc>
        <w:tc>
          <w:tcPr>
            <w:tcW w:w="2160" w:type="dxa"/>
          </w:tcPr>
          <w:p w14:paraId="180DE0D8" w14:textId="77777777" w:rsidR="001C6A5B" w:rsidRPr="00AA7F25" w:rsidRDefault="001C6A5B" w:rsidP="00C04D8E">
            <w:pPr>
              <w:rPr>
                <w:rFonts w:cs="Calibri"/>
              </w:rPr>
            </w:pPr>
            <w:r w:rsidRPr="00AA7F25">
              <w:rPr>
                <w:rFonts w:cs="Calibri"/>
              </w:rPr>
              <w:t>Annual</w:t>
            </w:r>
          </w:p>
        </w:tc>
      </w:tr>
      <w:tr w:rsidR="001C6A5B" w:rsidRPr="00AA7F25" w14:paraId="2BB84805"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6D8BD4E0" w14:textId="77777777" w:rsidR="001C6A5B" w:rsidRPr="00AA7F25" w:rsidRDefault="001C6A5B" w:rsidP="00C04D8E">
            <w:pPr>
              <w:rPr>
                <w:rFonts w:cs="Calibri"/>
              </w:rPr>
            </w:pPr>
            <w:r w:rsidRPr="00AA7F25">
              <w:rPr>
                <w:rFonts w:cs="Calibri"/>
              </w:rPr>
              <w:t>Cost avoidance</w:t>
            </w:r>
          </w:p>
        </w:tc>
        <w:tc>
          <w:tcPr>
            <w:tcW w:w="2160" w:type="dxa"/>
          </w:tcPr>
          <w:p w14:paraId="2872864B" w14:textId="77777777" w:rsidR="001C6A5B" w:rsidRPr="00AA7F25" w:rsidRDefault="001C6A5B" w:rsidP="00C04D8E">
            <w:pPr>
              <w:rPr>
                <w:rFonts w:cs="Calibri"/>
              </w:rPr>
            </w:pPr>
            <w:r w:rsidRPr="00AA7F25">
              <w:rPr>
                <w:rFonts w:cs="Calibri"/>
              </w:rPr>
              <w:t>Avoided overspend through early engagement</w:t>
            </w:r>
          </w:p>
        </w:tc>
        <w:tc>
          <w:tcPr>
            <w:tcW w:w="2160" w:type="dxa"/>
          </w:tcPr>
          <w:p w14:paraId="4C96BAE5" w14:textId="77777777" w:rsidR="001C6A5B" w:rsidRPr="00AA7F25" w:rsidRDefault="001C6A5B" w:rsidP="00C04D8E">
            <w:pPr>
              <w:rPr>
                <w:rFonts w:cs="Calibri"/>
              </w:rPr>
            </w:pPr>
            <w:r w:rsidRPr="00AA7F25">
              <w:rPr>
                <w:rFonts w:cs="Calibri"/>
              </w:rPr>
              <w:t>Quote comparisons, pre-market data</w:t>
            </w:r>
          </w:p>
        </w:tc>
        <w:tc>
          <w:tcPr>
            <w:tcW w:w="2160" w:type="dxa"/>
          </w:tcPr>
          <w:p w14:paraId="4D8CC040" w14:textId="77777777" w:rsidR="001C6A5B" w:rsidRPr="00AA7F25" w:rsidRDefault="001C6A5B" w:rsidP="00C04D8E">
            <w:pPr>
              <w:rPr>
                <w:rFonts w:cs="Calibri"/>
              </w:rPr>
            </w:pPr>
            <w:r w:rsidRPr="00AA7F25">
              <w:rPr>
                <w:rFonts w:cs="Calibri"/>
              </w:rPr>
              <w:t>Project-based</w:t>
            </w:r>
          </w:p>
        </w:tc>
      </w:tr>
      <w:tr w:rsidR="001C6A5B" w:rsidRPr="00AA7F25" w14:paraId="59CC44AB" w14:textId="77777777" w:rsidTr="00C04D8E">
        <w:tc>
          <w:tcPr>
            <w:tcW w:w="2160" w:type="dxa"/>
          </w:tcPr>
          <w:p w14:paraId="57AFA974" w14:textId="77777777" w:rsidR="001C6A5B" w:rsidRPr="00AA7F25" w:rsidRDefault="001C6A5B" w:rsidP="00C04D8E">
            <w:pPr>
              <w:rPr>
                <w:rFonts w:cs="Calibri"/>
              </w:rPr>
            </w:pPr>
            <w:r w:rsidRPr="00AA7F25">
              <w:rPr>
                <w:rFonts w:cs="Calibri"/>
              </w:rPr>
              <w:t>Process efficiencies</w:t>
            </w:r>
          </w:p>
        </w:tc>
        <w:tc>
          <w:tcPr>
            <w:tcW w:w="2160" w:type="dxa"/>
          </w:tcPr>
          <w:p w14:paraId="0904A57B" w14:textId="77777777" w:rsidR="001C6A5B" w:rsidRPr="00AA7F25" w:rsidRDefault="001C6A5B" w:rsidP="00C04D8E">
            <w:pPr>
              <w:rPr>
                <w:rFonts w:cs="Calibri"/>
              </w:rPr>
            </w:pPr>
            <w:r w:rsidRPr="00AA7F25">
              <w:rPr>
                <w:rFonts w:cs="Calibri"/>
              </w:rPr>
              <w:t>Staff time saved</w:t>
            </w:r>
          </w:p>
        </w:tc>
        <w:tc>
          <w:tcPr>
            <w:tcW w:w="2160" w:type="dxa"/>
          </w:tcPr>
          <w:p w14:paraId="124D0719" w14:textId="77777777" w:rsidR="001C6A5B" w:rsidRPr="00AA7F25" w:rsidRDefault="001C6A5B" w:rsidP="00C04D8E">
            <w:pPr>
              <w:rPr>
                <w:rFonts w:cs="Calibri"/>
              </w:rPr>
            </w:pPr>
            <w:r w:rsidRPr="00AA7F25">
              <w:rPr>
                <w:rFonts w:cs="Calibri"/>
              </w:rPr>
              <w:t>Hours saved x average hourly rate</w:t>
            </w:r>
          </w:p>
        </w:tc>
        <w:tc>
          <w:tcPr>
            <w:tcW w:w="2160" w:type="dxa"/>
          </w:tcPr>
          <w:p w14:paraId="30161264" w14:textId="77777777" w:rsidR="001C6A5B" w:rsidRPr="00AA7F25" w:rsidRDefault="001C6A5B" w:rsidP="00C04D8E">
            <w:pPr>
              <w:rPr>
                <w:rFonts w:cs="Calibri"/>
              </w:rPr>
            </w:pPr>
            <w:r w:rsidRPr="00AA7F25">
              <w:rPr>
                <w:rFonts w:cs="Calibri"/>
              </w:rPr>
              <w:t>Quarterly</w:t>
            </w:r>
          </w:p>
        </w:tc>
      </w:tr>
      <w:tr w:rsidR="001C6A5B" w:rsidRPr="00AA7F25" w14:paraId="13D0A627"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0C7332C2" w14:textId="77777777" w:rsidR="001C6A5B" w:rsidRPr="00AA7F25" w:rsidRDefault="001C6A5B" w:rsidP="00C04D8E">
            <w:pPr>
              <w:rPr>
                <w:rFonts w:cs="Calibri"/>
              </w:rPr>
            </w:pPr>
            <w:r w:rsidRPr="00AA7F25">
              <w:rPr>
                <w:rFonts w:cs="Calibri"/>
              </w:rPr>
              <w:t>Income generation</w:t>
            </w:r>
          </w:p>
        </w:tc>
        <w:tc>
          <w:tcPr>
            <w:tcW w:w="2160" w:type="dxa"/>
          </w:tcPr>
          <w:p w14:paraId="3A6EFFC3" w14:textId="77777777" w:rsidR="001C6A5B" w:rsidRPr="00AA7F25" w:rsidRDefault="001C6A5B" w:rsidP="00C04D8E">
            <w:pPr>
              <w:rPr>
                <w:rFonts w:cs="Calibri"/>
              </w:rPr>
            </w:pPr>
            <w:r w:rsidRPr="00AA7F25">
              <w:rPr>
                <w:rFonts w:cs="Calibri"/>
              </w:rPr>
              <w:t>Rebates or surplus income</w:t>
            </w:r>
          </w:p>
        </w:tc>
        <w:tc>
          <w:tcPr>
            <w:tcW w:w="2160" w:type="dxa"/>
          </w:tcPr>
          <w:p w14:paraId="4F56BA06" w14:textId="77777777" w:rsidR="001C6A5B" w:rsidRPr="00AA7F25" w:rsidRDefault="001C6A5B" w:rsidP="00C04D8E">
            <w:pPr>
              <w:rPr>
                <w:rFonts w:cs="Calibri"/>
              </w:rPr>
            </w:pPr>
            <w:r w:rsidRPr="00AA7F25">
              <w:rPr>
                <w:rFonts w:cs="Calibri"/>
              </w:rPr>
              <w:t>Financial reports</w:t>
            </w:r>
          </w:p>
        </w:tc>
        <w:tc>
          <w:tcPr>
            <w:tcW w:w="2160" w:type="dxa"/>
          </w:tcPr>
          <w:p w14:paraId="4D2B5E62" w14:textId="77777777" w:rsidR="001C6A5B" w:rsidRPr="00AA7F25" w:rsidRDefault="001C6A5B" w:rsidP="00C04D8E">
            <w:pPr>
              <w:rPr>
                <w:rFonts w:cs="Calibri"/>
              </w:rPr>
            </w:pPr>
            <w:r w:rsidRPr="00AA7F25">
              <w:rPr>
                <w:rFonts w:cs="Calibri"/>
              </w:rPr>
              <w:t>Annual</w:t>
            </w:r>
          </w:p>
        </w:tc>
      </w:tr>
    </w:tbl>
    <w:p w14:paraId="4682E3C2" w14:textId="77777777" w:rsidR="001C6A5B" w:rsidRDefault="001C6A5B" w:rsidP="001C6A5B">
      <w:pPr>
        <w:pStyle w:val="Heading2"/>
        <w:rPr>
          <w:rFonts w:cs="Calibri"/>
          <w:sz w:val="26"/>
        </w:rPr>
      </w:pPr>
    </w:p>
    <w:p w14:paraId="26686F28" w14:textId="77777777" w:rsidR="001C6A5B" w:rsidRPr="001C6A5B" w:rsidRDefault="001C6A5B" w:rsidP="001C6A5B">
      <w:pPr>
        <w:pStyle w:val="Heading2"/>
        <w:rPr>
          <w:rFonts w:ascii="Calibri" w:hAnsi="Calibri" w:cs="Calibri"/>
          <w:sz w:val="28"/>
          <w:szCs w:val="28"/>
        </w:rPr>
      </w:pPr>
      <w:r w:rsidRPr="001C6A5B">
        <w:rPr>
          <w:rFonts w:ascii="Calibri" w:hAnsi="Calibri" w:cs="Calibri"/>
          <w:sz w:val="28"/>
          <w:szCs w:val="28"/>
        </w:rPr>
        <w:t>B. Social Value &amp; Community Benefits</w:t>
      </w:r>
    </w:p>
    <w:p w14:paraId="0F7D17AB" w14:textId="77777777" w:rsidR="001C6A5B" w:rsidRPr="00AA7F25" w:rsidRDefault="001C6A5B" w:rsidP="001C6A5B">
      <w:pPr>
        <w:rPr>
          <w:rFonts w:cs="Calibri"/>
        </w:rPr>
      </w:pPr>
      <w:r w:rsidRPr="00AA7F25">
        <w:rPr>
          <w:rFonts w:cs="Calibri"/>
        </w:rPr>
        <w:t>Social value benefits focus on the wider positive impacts procurement can create for communities, students, and local economies. These can be embedded as deliverables within contracts or encouraged through supplier engagement and partnership. Benefits should be evidenced through supplier reporting, direct engagement and impact stories.</w:t>
      </w:r>
    </w:p>
    <w:p w14:paraId="4D01AF32" w14:textId="77777777" w:rsidR="001C6A5B" w:rsidRPr="00AA7F25" w:rsidRDefault="001C6A5B" w:rsidP="001C6A5B">
      <w:pPr>
        <w:pStyle w:val="ListParagraph"/>
        <w:numPr>
          <w:ilvl w:val="0"/>
          <w:numId w:val="26"/>
        </w:numPr>
        <w:tabs>
          <w:tab w:val="clear" w:pos="284"/>
        </w:tabs>
        <w:spacing w:afterLines="0" w:after="200" w:line="276" w:lineRule="auto"/>
        <w:rPr>
          <w:rFonts w:cs="Calibri"/>
        </w:rPr>
      </w:pPr>
      <w:r w:rsidRPr="00AA7F25">
        <w:rPr>
          <w:rFonts w:cs="Calibri"/>
        </w:rPr>
        <w:lastRenderedPageBreak/>
        <w:t>Employment: Track number of jobs created or sustained, particularly for underrepresented or local groups.</w:t>
      </w:r>
    </w:p>
    <w:p w14:paraId="54AAF438" w14:textId="77777777" w:rsidR="001C6A5B" w:rsidRPr="00AA7F25" w:rsidRDefault="001C6A5B" w:rsidP="001C6A5B">
      <w:pPr>
        <w:pStyle w:val="ListParagraph"/>
        <w:numPr>
          <w:ilvl w:val="0"/>
          <w:numId w:val="26"/>
        </w:numPr>
        <w:tabs>
          <w:tab w:val="clear" w:pos="284"/>
        </w:tabs>
        <w:spacing w:afterLines="0" w:after="200" w:line="276" w:lineRule="auto"/>
        <w:rPr>
          <w:rFonts w:cs="Calibri"/>
        </w:rPr>
      </w:pPr>
      <w:r w:rsidRPr="00AA7F25">
        <w:rPr>
          <w:rFonts w:cs="Calibri"/>
        </w:rPr>
        <w:t>Employability: Count student placements, apprenticeships, and engagement in career-related activities.</w:t>
      </w:r>
    </w:p>
    <w:p w14:paraId="3D67E721" w14:textId="77777777" w:rsidR="001C6A5B" w:rsidRPr="00AA7F25" w:rsidRDefault="001C6A5B" w:rsidP="001C6A5B">
      <w:pPr>
        <w:pStyle w:val="ListParagraph"/>
        <w:numPr>
          <w:ilvl w:val="0"/>
          <w:numId w:val="26"/>
        </w:numPr>
        <w:tabs>
          <w:tab w:val="clear" w:pos="284"/>
        </w:tabs>
        <w:spacing w:afterLines="0" w:after="200" w:line="276" w:lineRule="auto"/>
        <w:rPr>
          <w:rFonts w:cs="Calibri"/>
        </w:rPr>
      </w:pPr>
      <w:r w:rsidRPr="00AA7F25">
        <w:rPr>
          <w:rFonts w:cs="Calibri"/>
        </w:rPr>
        <w:t>Local Economy: Measure percentage of spend retained within the local economy (e.g., within 30 miles of school location).</w:t>
      </w:r>
    </w:p>
    <w:p w14:paraId="561AAE36" w14:textId="77777777" w:rsidR="001C6A5B" w:rsidRPr="00AA7F25" w:rsidRDefault="001C6A5B" w:rsidP="001C6A5B">
      <w:pPr>
        <w:pStyle w:val="ListParagraph"/>
        <w:numPr>
          <w:ilvl w:val="0"/>
          <w:numId w:val="26"/>
        </w:numPr>
        <w:tabs>
          <w:tab w:val="clear" w:pos="284"/>
        </w:tabs>
        <w:spacing w:afterLines="0" w:after="200" w:line="276" w:lineRule="auto"/>
        <w:rPr>
          <w:rFonts w:cs="Calibri"/>
        </w:rPr>
      </w:pPr>
      <w:r w:rsidRPr="00AA7F25">
        <w:rPr>
          <w:rFonts w:cs="Calibri"/>
        </w:rPr>
        <w:t>Supplier Diversity: Quantify procurement from SMEs, VCSEs, and minority-led businesses. Align this with equity and inclusion goals.</w:t>
      </w:r>
    </w:p>
    <w:p w14:paraId="589A238F" w14:textId="77777777" w:rsidR="001C6A5B" w:rsidRPr="00AA7F25" w:rsidRDefault="001C6A5B" w:rsidP="001C6A5B">
      <w:pPr>
        <w:pStyle w:val="ListParagraph"/>
        <w:numPr>
          <w:ilvl w:val="0"/>
          <w:numId w:val="26"/>
        </w:numPr>
        <w:tabs>
          <w:tab w:val="clear" w:pos="284"/>
        </w:tabs>
        <w:spacing w:afterLines="0" w:after="200" w:line="276" w:lineRule="auto"/>
        <w:rPr>
          <w:rFonts w:cs="Calibri"/>
        </w:rPr>
      </w:pPr>
      <w:r w:rsidRPr="00AA7F25">
        <w:rPr>
          <w:rFonts w:cs="Calibri"/>
        </w:rPr>
        <w:t xml:space="preserve">Other social benefits (eg: the impact of utilising biophilic design) </w:t>
      </w:r>
    </w:p>
    <w:tbl>
      <w:tblPr>
        <w:tblStyle w:val="TableGrid"/>
        <w:tblW w:w="0" w:type="auto"/>
        <w:tblLook w:val="04A0" w:firstRow="1" w:lastRow="0" w:firstColumn="1" w:lastColumn="0" w:noHBand="0" w:noVBand="1"/>
      </w:tblPr>
      <w:tblGrid>
        <w:gridCol w:w="2160"/>
        <w:gridCol w:w="2709"/>
        <w:gridCol w:w="2160"/>
        <w:gridCol w:w="2160"/>
      </w:tblGrid>
      <w:tr w:rsidR="001C6A5B" w:rsidRPr="00AA7F25" w14:paraId="6ACCD12F" w14:textId="77777777" w:rsidTr="00C04D8E">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575757" w:themeFill="text2"/>
          </w:tcPr>
          <w:p w14:paraId="2C530BE7" w14:textId="77777777" w:rsidR="001C6A5B" w:rsidRPr="00AA7F25" w:rsidRDefault="001C6A5B" w:rsidP="00C04D8E">
            <w:pPr>
              <w:rPr>
                <w:rFonts w:cs="Calibri"/>
                <w:color w:val="FFFFFF" w:themeColor="background1"/>
              </w:rPr>
            </w:pPr>
            <w:r w:rsidRPr="00AA7F25">
              <w:rPr>
                <w:rFonts w:cs="Calibri"/>
                <w:color w:val="FFFFFF" w:themeColor="background1"/>
              </w:rPr>
              <w:t>Type</w:t>
            </w:r>
          </w:p>
        </w:tc>
        <w:tc>
          <w:tcPr>
            <w:tcW w:w="2160" w:type="dxa"/>
            <w:shd w:val="clear" w:color="auto" w:fill="575757" w:themeFill="text2"/>
          </w:tcPr>
          <w:p w14:paraId="08FC666D" w14:textId="77777777" w:rsidR="001C6A5B" w:rsidRPr="00AA7F25" w:rsidRDefault="001C6A5B" w:rsidP="00C04D8E">
            <w:pPr>
              <w:rPr>
                <w:rFonts w:cs="Calibri"/>
                <w:color w:val="FFFFFF" w:themeColor="background1"/>
              </w:rPr>
            </w:pPr>
            <w:r w:rsidRPr="00AA7F25">
              <w:rPr>
                <w:rFonts w:cs="Calibri"/>
                <w:color w:val="FFFFFF" w:themeColor="background1"/>
              </w:rPr>
              <w:t>Example Metrics</w:t>
            </w:r>
          </w:p>
        </w:tc>
        <w:tc>
          <w:tcPr>
            <w:tcW w:w="2160" w:type="dxa"/>
            <w:shd w:val="clear" w:color="auto" w:fill="575757" w:themeFill="text2"/>
          </w:tcPr>
          <w:p w14:paraId="55F21E57" w14:textId="77777777" w:rsidR="001C6A5B" w:rsidRPr="00AA7F25" w:rsidRDefault="001C6A5B" w:rsidP="00C04D8E">
            <w:pPr>
              <w:rPr>
                <w:rFonts w:cs="Calibri"/>
                <w:color w:val="FFFFFF" w:themeColor="background1"/>
              </w:rPr>
            </w:pPr>
            <w:r w:rsidRPr="00AA7F25">
              <w:rPr>
                <w:rFonts w:cs="Calibri"/>
                <w:color w:val="FFFFFF" w:themeColor="background1"/>
              </w:rPr>
              <w:t>How to Measure</w:t>
            </w:r>
          </w:p>
        </w:tc>
        <w:tc>
          <w:tcPr>
            <w:tcW w:w="2160" w:type="dxa"/>
            <w:shd w:val="clear" w:color="auto" w:fill="575757" w:themeFill="text2"/>
          </w:tcPr>
          <w:p w14:paraId="4482D908" w14:textId="77777777" w:rsidR="001C6A5B" w:rsidRPr="00AA7F25" w:rsidRDefault="001C6A5B" w:rsidP="00C04D8E">
            <w:pPr>
              <w:rPr>
                <w:rFonts w:cs="Calibri"/>
                <w:color w:val="FFFFFF" w:themeColor="background1"/>
              </w:rPr>
            </w:pPr>
            <w:r w:rsidRPr="00AA7F25">
              <w:rPr>
                <w:rFonts w:cs="Calibri"/>
                <w:color w:val="FFFFFF" w:themeColor="background1"/>
              </w:rPr>
              <w:t>Frequency</w:t>
            </w:r>
          </w:p>
        </w:tc>
      </w:tr>
      <w:tr w:rsidR="001C6A5B" w:rsidRPr="00AA7F25" w14:paraId="24A7C4B6" w14:textId="77777777" w:rsidTr="00C04D8E">
        <w:tc>
          <w:tcPr>
            <w:tcW w:w="2160" w:type="dxa"/>
          </w:tcPr>
          <w:p w14:paraId="4E81EAA4" w14:textId="77777777" w:rsidR="001C6A5B" w:rsidRPr="00AA7F25" w:rsidRDefault="001C6A5B" w:rsidP="00C04D8E">
            <w:pPr>
              <w:rPr>
                <w:rFonts w:cs="Calibri"/>
              </w:rPr>
            </w:pPr>
            <w:r w:rsidRPr="00AA7F25">
              <w:rPr>
                <w:rFonts w:cs="Calibri"/>
              </w:rPr>
              <w:t>Employment</w:t>
            </w:r>
          </w:p>
        </w:tc>
        <w:tc>
          <w:tcPr>
            <w:tcW w:w="2160" w:type="dxa"/>
          </w:tcPr>
          <w:p w14:paraId="69136513" w14:textId="77777777" w:rsidR="001C6A5B" w:rsidRPr="00AA7F25" w:rsidRDefault="001C6A5B" w:rsidP="00C04D8E">
            <w:pPr>
              <w:rPr>
                <w:rFonts w:cs="Calibri"/>
              </w:rPr>
            </w:pPr>
            <w:r w:rsidRPr="00AA7F25">
              <w:rPr>
                <w:rFonts w:cs="Calibri"/>
              </w:rPr>
              <w:t>Jobs created/sustained</w:t>
            </w:r>
          </w:p>
        </w:tc>
        <w:tc>
          <w:tcPr>
            <w:tcW w:w="2160" w:type="dxa"/>
          </w:tcPr>
          <w:p w14:paraId="28197F64" w14:textId="77777777" w:rsidR="001C6A5B" w:rsidRPr="00AA7F25" w:rsidRDefault="001C6A5B" w:rsidP="00C04D8E">
            <w:pPr>
              <w:rPr>
                <w:rFonts w:cs="Calibri"/>
              </w:rPr>
            </w:pPr>
            <w:r w:rsidRPr="00AA7F25">
              <w:rPr>
                <w:rFonts w:cs="Calibri"/>
              </w:rPr>
              <w:t>Supplier reports; social value KPIs</w:t>
            </w:r>
          </w:p>
        </w:tc>
        <w:tc>
          <w:tcPr>
            <w:tcW w:w="2160" w:type="dxa"/>
          </w:tcPr>
          <w:p w14:paraId="7538F1F9" w14:textId="77777777" w:rsidR="001C6A5B" w:rsidRPr="00AA7F25" w:rsidRDefault="001C6A5B" w:rsidP="00C04D8E">
            <w:pPr>
              <w:rPr>
                <w:rFonts w:cs="Calibri"/>
              </w:rPr>
            </w:pPr>
            <w:r w:rsidRPr="00AA7F25">
              <w:rPr>
                <w:rFonts w:cs="Calibri"/>
              </w:rPr>
              <w:t>Bi-annual</w:t>
            </w:r>
          </w:p>
        </w:tc>
      </w:tr>
      <w:tr w:rsidR="001C6A5B" w:rsidRPr="00AA7F25" w14:paraId="05A6ED5C"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53323948" w14:textId="77777777" w:rsidR="001C6A5B" w:rsidRPr="00AA7F25" w:rsidRDefault="001C6A5B" w:rsidP="00C04D8E">
            <w:pPr>
              <w:rPr>
                <w:rFonts w:cs="Calibri"/>
              </w:rPr>
            </w:pPr>
            <w:r w:rsidRPr="00AA7F25">
              <w:rPr>
                <w:rFonts w:cs="Calibri"/>
              </w:rPr>
              <w:t>Employability</w:t>
            </w:r>
          </w:p>
        </w:tc>
        <w:tc>
          <w:tcPr>
            <w:tcW w:w="2160" w:type="dxa"/>
          </w:tcPr>
          <w:p w14:paraId="48CC5DB7" w14:textId="77777777" w:rsidR="001C6A5B" w:rsidRPr="00AA7F25" w:rsidRDefault="001C6A5B" w:rsidP="00C04D8E">
            <w:pPr>
              <w:rPr>
                <w:rFonts w:cs="Calibri"/>
              </w:rPr>
            </w:pPr>
            <w:r w:rsidRPr="00AA7F25">
              <w:rPr>
                <w:rFonts w:cs="Calibri"/>
              </w:rPr>
              <w:t>Student placements/apprenticeships</w:t>
            </w:r>
          </w:p>
        </w:tc>
        <w:tc>
          <w:tcPr>
            <w:tcW w:w="2160" w:type="dxa"/>
          </w:tcPr>
          <w:p w14:paraId="63341829" w14:textId="77777777" w:rsidR="001C6A5B" w:rsidRPr="00AA7F25" w:rsidRDefault="001C6A5B" w:rsidP="00C04D8E">
            <w:pPr>
              <w:rPr>
                <w:rFonts w:cs="Calibri"/>
              </w:rPr>
            </w:pPr>
            <w:r w:rsidRPr="00AA7F25">
              <w:rPr>
                <w:rFonts w:cs="Calibri"/>
              </w:rPr>
              <w:t>Placement numbers, feedback logs</w:t>
            </w:r>
          </w:p>
        </w:tc>
        <w:tc>
          <w:tcPr>
            <w:tcW w:w="2160" w:type="dxa"/>
          </w:tcPr>
          <w:p w14:paraId="608FBF33" w14:textId="77777777" w:rsidR="001C6A5B" w:rsidRPr="00AA7F25" w:rsidRDefault="001C6A5B" w:rsidP="00C04D8E">
            <w:pPr>
              <w:rPr>
                <w:rFonts w:cs="Calibri"/>
              </w:rPr>
            </w:pPr>
            <w:r w:rsidRPr="00AA7F25">
              <w:rPr>
                <w:rFonts w:cs="Calibri"/>
              </w:rPr>
              <w:t>Termly</w:t>
            </w:r>
          </w:p>
        </w:tc>
      </w:tr>
      <w:tr w:rsidR="001C6A5B" w:rsidRPr="00AA7F25" w14:paraId="606FDBF3" w14:textId="77777777" w:rsidTr="00C04D8E">
        <w:tc>
          <w:tcPr>
            <w:tcW w:w="2160" w:type="dxa"/>
          </w:tcPr>
          <w:p w14:paraId="6FEC9020" w14:textId="77777777" w:rsidR="001C6A5B" w:rsidRPr="00AA7F25" w:rsidRDefault="001C6A5B" w:rsidP="00C04D8E">
            <w:pPr>
              <w:rPr>
                <w:rFonts w:cs="Calibri"/>
              </w:rPr>
            </w:pPr>
            <w:r w:rsidRPr="00AA7F25">
              <w:rPr>
                <w:rFonts w:cs="Calibri"/>
              </w:rPr>
              <w:t>Local economy</w:t>
            </w:r>
          </w:p>
        </w:tc>
        <w:tc>
          <w:tcPr>
            <w:tcW w:w="2160" w:type="dxa"/>
          </w:tcPr>
          <w:p w14:paraId="6162142F" w14:textId="77777777" w:rsidR="001C6A5B" w:rsidRPr="00AA7F25" w:rsidRDefault="001C6A5B" w:rsidP="00C04D8E">
            <w:pPr>
              <w:rPr>
                <w:rFonts w:cs="Calibri"/>
              </w:rPr>
            </w:pPr>
            <w:r w:rsidRPr="00AA7F25">
              <w:rPr>
                <w:rFonts w:cs="Calibri"/>
              </w:rPr>
              <w:t>% of spend with local suppliers</w:t>
            </w:r>
          </w:p>
        </w:tc>
        <w:tc>
          <w:tcPr>
            <w:tcW w:w="2160" w:type="dxa"/>
          </w:tcPr>
          <w:p w14:paraId="0AAD32F5" w14:textId="77777777" w:rsidR="001C6A5B" w:rsidRPr="00AA7F25" w:rsidRDefault="001C6A5B" w:rsidP="00C04D8E">
            <w:pPr>
              <w:rPr>
                <w:rFonts w:cs="Calibri"/>
              </w:rPr>
            </w:pPr>
            <w:r w:rsidRPr="00AA7F25">
              <w:rPr>
                <w:rFonts w:cs="Calibri"/>
              </w:rPr>
              <w:t>Spend analysis by postcode</w:t>
            </w:r>
          </w:p>
        </w:tc>
        <w:tc>
          <w:tcPr>
            <w:tcW w:w="2160" w:type="dxa"/>
          </w:tcPr>
          <w:p w14:paraId="3188995A" w14:textId="77777777" w:rsidR="001C6A5B" w:rsidRPr="00AA7F25" w:rsidRDefault="001C6A5B" w:rsidP="00C04D8E">
            <w:pPr>
              <w:rPr>
                <w:rFonts w:cs="Calibri"/>
              </w:rPr>
            </w:pPr>
            <w:r w:rsidRPr="00AA7F25">
              <w:rPr>
                <w:rFonts w:cs="Calibri"/>
              </w:rPr>
              <w:t>Quarterly</w:t>
            </w:r>
          </w:p>
        </w:tc>
      </w:tr>
      <w:tr w:rsidR="001C6A5B" w:rsidRPr="00AA7F25" w14:paraId="62F9424C"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3E55D357" w14:textId="77777777" w:rsidR="001C6A5B" w:rsidRPr="00AA7F25" w:rsidRDefault="001C6A5B" w:rsidP="00C04D8E">
            <w:pPr>
              <w:rPr>
                <w:rFonts w:cs="Calibri"/>
              </w:rPr>
            </w:pPr>
            <w:r w:rsidRPr="00AA7F25">
              <w:rPr>
                <w:rFonts w:cs="Calibri"/>
              </w:rPr>
              <w:t>Supplier diversity</w:t>
            </w:r>
          </w:p>
        </w:tc>
        <w:tc>
          <w:tcPr>
            <w:tcW w:w="2160" w:type="dxa"/>
          </w:tcPr>
          <w:p w14:paraId="7D99972E" w14:textId="77777777" w:rsidR="001C6A5B" w:rsidRPr="00AA7F25" w:rsidRDefault="001C6A5B" w:rsidP="00C04D8E">
            <w:pPr>
              <w:rPr>
                <w:rFonts w:cs="Calibri"/>
              </w:rPr>
            </w:pPr>
            <w:r w:rsidRPr="00AA7F25">
              <w:rPr>
                <w:rFonts w:cs="Calibri"/>
              </w:rPr>
              <w:t>% of spend with SMEs/VCSEs</w:t>
            </w:r>
          </w:p>
        </w:tc>
        <w:tc>
          <w:tcPr>
            <w:tcW w:w="2160" w:type="dxa"/>
          </w:tcPr>
          <w:p w14:paraId="0849B31B" w14:textId="77777777" w:rsidR="001C6A5B" w:rsidRPr="00AA7F25" w:rsidRDefault="001C6A5B" w:rsidP="00C04D8E">
            <w:pPr>
              <w:rPr>
                <w:rFonts w:cs="Calibri"/>
              </w:rPr>
            </w:pPr>
            <w:r w:rsidRPr="00AA7F25">
              <w:rPr>
                <w:rFonts w:cs="Calibri"/>
              </w:rPr>
              <w:t>Supplier classification data</w:t>
            </w:r>
          </w:p>
        </w:tc>
        <w:tc>
          <w:tcPr>
            <w:tcW w:w="2160" w:type="dxa"/>
          </w:tcPr>
          <w:p w14:paraId="0E68BBCC" w14:textId="77777777" w:rsidR="001C6A5B" w:rsidRPr="00AA7F25" w:rsidRDefault="001C6A5B" w:rsidP="00C04D8E">
            <w:pPr>
              <w:rPr>
                <w:rFonts w:cs="Calibri"/>
              </w:rPr>
            </w:pPr>
            <w:r w:rsidRPr="00AA7F25">
              <w:rPr>
                <w:rFonts w:cs="Calibri"/>
              </w:rPr>
              <w:t>Annual</w:t>
            </w:r>
          </w:p>
        </w:tc>
      </w:tr>
      <w:tr w:rsidR="001C6A5B" w:rsidRPr="00AA7F25" w14:paraId="15BD9FC1" w14:textId="77777777" w:rsidTr="00C04D8E">
        <w:tc>
          <w:tcPr>
            <w:tcW w:w="2160" w:type="dxa"/>
          </w:tcPr>
          <w:p w14:paraId="0F713880" w14:textId="77777777" w:rsidR="001C6A5B" w:rsidRPr="00AA7F25" w:rsidRDefault="001C6A5B" w:rsidP="00C04D8E">
            <w:pPr>
              <w:rPr>
                <w:rFonts w:cs="Calibri"/>
              </w:rPr>
            </w:pPr>
            <w:r w:rsidRPr="00AA7F25">
              <w:rPr>
                <w:rFonts w:cs="Calibri"/>
              </w:rPr>
              <w:t>Other</w:t>
            </w:r>
          </w:p>
        </w:tc>
        <w:tc>
          <w:tcPr>
            <w:tcW w:w="2160" w:type="dxa"/>
          </w:tcPr>
          <w:p w14:paraId="059146A4" w14:textId="77777777" w:rsidR="001C6A5B" w:rsidRPr="00AA7F25" w:rsidRDefault="001C6A5B" w:rsidP="00C04D8E">
            <w:pPr>
              <w:rPr>
                <w:rFonts w:cs="Calibri"/>
              </w:rPr>
            </w:pPr>
            <w:r w:rsidRPr="00AA7F25">
              <w:rPr>
                <w:rFonts w:cs="Calibri"/>
              </w:rPr>
              <w:t>Any other example of social impact through procurement</w:t>
            </w:r>
          </w:p>
        </w:tc>
        <w:tc>
          <w:tcPr>
            <w:tcW w:w="2160" w:type="dxa"/>
          </w:tcPr>
          <w:p w14:paraId="314FC7A3" w14:textId="77777777" w:rsidR="001C6A5B" w:rsidRPr="00AA7F25" w:rsidRDefault="001C6A5B" w:rsidP="00C04D8E">
            <w:pPr>
              <w:rPr>
                <w:rFonts w:cs="Calibri"/>
              </w:rPr>
            </w:pPr>
            <w:r w:rsidRPr="00AA7F25">
              <w:rPr>
                <w:rFonts w:cs="Calibri"/>
              </w:rPr>
              <w:t>Narrative reporting with any associated data</w:t>
            </w:r>
          </w:p>
        </w:tc>
        <w:tc>
          <w:tcPr>
            <w:tcW w:w="2160" w:type="dxa"/>
          </w:tcPr>
          <w:p w14:paraId="5CAA8BAF" w14:textId="77777777" w:rsidR="001C6A5B" w:rsidRPr="00AA7F25" w:rsidRDefault="001C6A5B" w:rsidP="00C04D8E">
            <w:pPr>
              <w:rPr>
                <w:rFonts w:cs="Calibri"/>
              </w:rPr>
            </w:pPr>
            <w:r w:rsidRPr="00AA7F25">
              <w:rPr>
                <w:rFonts w:cs="Calibri"/>
              </w:rPr>
              <w:t>Annual</w:t>
            </w:r>
          </w:p>
        </w:tc>
      </w:tr>
    </w:tbl>
    <w:p w14:paraId="26A66729" w14:textId="77777777" w:rsidR="001C6A5B" w:rsidRPr="001C6A5B" w:rsidRDefault="001C6A5B" w:rsidP="001C6A5B">
      <w:pPr>
        <w:pStyle w:val="Heading2"/>
        <w:rPr>
          <w:rFonts w:ascii="Calibri" w:hAnsi="Calibri" w:cs="Calibri"/>
          <w:sz w:val="28"/>
          <w:szCs w:val="28"/>
        </w:rPr>
      </w:pPr>
      <w:r w:rsidRPr="001C6A5B">
        <w:rPr>
          <w:rFonts w:ascii="Calibri" w:hAnsi="Calibri" w:cs="Calibri"/>
          <w:sz w:val="28"/>
          <w:szCs w:val="28"/>
        </w:rPr>
        <w:t>C. Environmental Value</w:t>
      </w:r>
    </w:p>
    <w:p w14:paraId="58D064A3" w14:textId="77777777" w:rsidR="001C6A5B" w:rsidRPr="00AA7F25" w:rsidRDefault="001C6A5B" w:rsidP="001C6A5B">
      <w:pPr>
        <w:rPr>
          <w:rFonts w:cs="Calibri"/>
        </w:rPr>
      </w:pPr>
      <w:r w:rsidRPr="00AA7F25">
        <w:rPr>
          <w:rFonts w:cs="Calibri"/>
        </w:rPr>
        <w:t>Environmental benefits include reductions in waste, emissions, and other ecological impacts. Procurement can drive environmental improvements through specification, supplier selection, and performance management. Benefits can be evidenced via reporting from suppliers or in-house sustainability tracking tools.</w:t>
      </w:r>
    </w:p>
    <w:p w14:paraId="4DB1ABC3" w14:textId="77777777" w:rsidR="001C6A5B" w:rsidRPr="00AA7F25" w:rsidRDefault="001C6A5B" w:rsidP="001C6A5B">
      <w:pPr>
        <w:pStyle w:val="ListParagraph"/>
        <w:numPr>
          <w:ilvl w:val="0"/>
          <w:numId w:val="27"/>
        </w:numPr>
        <w:tabs>
          <w:tab w:val="clear" w:pos="284"/>
        </w:tabs>
        <w:spacing w:afterLines="0" w:after="200" w:line="276" w:lineRule="auto"/>
        <w:rPr>
          <w:rFonts w:cs="Calibri"/>
        </w:rPr>
      </w:pPr>
      <w:r w:rsidRPr="00AA7F25">
        <w:rPr>
          <w:rFonts w:cs="Calibri"/>
        </w:rPr>
        <w:t>Carbon Reduction: Calculate tonnes of CO2e avoided based on supplier data or comparative benchmarks.</w:t>
      </w:r>
    </w:p>
    <w:p w14:paraId="34173CEB" w14:textId="77777777" w:rsidR="001C6A5B" w:rsidRPr="00AA7F25" w:rsidRDefault="001C6A5B" w:rsidP="001C6A5B">
      <w:pPr>
        <w:pStyle w:val="ListParagraph"/>
        <w:numPr>
          <w:ilvl w:val="0"/>
          <w:numId w:val="27"/>
        </w:numPr>
        <w:tabs>
          <w:tab w:val="clear" w:pos="284"/>
        </w:tabs>
        <w:spacing w:afterLines="0" w:after="200" w:line="276" w:lineRule="auto"/>
        <w:rPr>
          <w:rFonts w:cs="Calibri"/>
        </w:rPr>
      </w:pPr>
      <w:r w:rsidRPr="00AA7F25">
        <w:rPr>
          <w:rFonts w:cs="Calibri"/>
        </w:rPr>
        <w:lastRenderedPageBreak/>
        <w:t>Waste Reduction: Measure recycled/reused materials as a percentage of total procurement volume.</w:t>
      </w:r>
    </w:p>
    <w:p w14:paraId="7A88DE7B" w14:textId="77777777" w:rsidR="001C6A5B" w:rsidRPr="00AA7F25" w:rsidRDefault="001C6A5B" w:rsidP="001C6A5B">
      <w:pPr>
        <w:pStyle w:val="ListParagraph"/>
        <w:numPr>
          <w:ilvl w:val="0"/>
          <w:numId w:val="27"/>
        </w:numPr>
        <w:tabs>
          <w:tab w:val="clear" w:pos="284"/>
        </w:tabs>
        <w:spacing w:afterLines="0" w:after="200" w:line="276" w:lineRule="auto"/>
        <w:rPr>
          <w:rFonts w:cs="Calibri"/>
        </w:rPr>
      </w:pPr>
      <w:r w:rsidRPr="00AA7F25">
        <w:rPr>
          <w:rFonts w:cs="Calibri"/>
        </w:rPr>
        <w:t>Sustainable Procurement: Record how many contracts include environmental performance requirements.</w:t>
      </w:r>
    </w:p>
    <w:tbl>
      <w:tblPr>
        <w:tblStyle w:val="TableGrid"/>
        <w:tblW w:w="0" w:type="auto"/>
        <w:tblLook w:val="04A0" w:firstRow="1" w:lastRow="0" w:firstColumn="1" w:lastColumn="0" w:noHBand="0" w:noVBand="1"/>
      </w:tblPr>
      <w:tblGrid>
        <w:gridCol w:w="2160"/>
        <w:gridCol w:w="2160"/>
        <w:gridCol w:w="2160"/>
        <w:gridCol w:w="2160"/>
      </w:tblGrid>
      <w:tr w:rsidR="001C6A5B" w:rsidRPr="00AA7F25" w14:paraId="2195AA81" w14:textId="77777777" w:rsidTr="00C04D8E">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575757" w:themeFill="text2"/>
          </w:tcPr>
          <w:p w14:paraId="6FCC1017" w14:textId="77777777" w:rsidR="001C6A5B" w:rsidRPr="00AA7F25" w:rsidRDefault="001C6A5B" w:rsidP="00C04D8E">
            <w:pPr>
              <w:rPr>
                <w:rFonts w:cs="Calibri"/>
              </w:rPr>
            </w:pPr>
            <w:r w:rsidRPr="00AA7F25">
              <w:rPr>
                <w:rFonts w:cs="Calibri"/>
              </w:rPr>
              <w:t>Type</w:t>
            </w:r>
          </w:p>
        </w:tc>
        <w:tc>
          <w:tcPr>
            <w:tcW w:w="2160" w:type="dxa"/>
            <w:shd w:val="clear" w:color="auto" w:fill="575757" w:themeFill="text2"/>
          </w:tcPr>
          <w:p w14:paraId="0292227E" w14:textId="77777777" w:rsidR="001C6A5B" w:rsidRPr="00AA7F25" w:rsidRDefault="001C6A5B" w:rsidP="00C04D8E">
            <w:pPr>
              <w:rPr>
                <w:rFonts w:cs="Calibri"/>
              </w:rPr>
            </w:pPr>
            <w:r w:rsidRPr="00AA7F25">
              <w:rPr>
                <w:rFonts w:cs="Calibri"/>
              </w:rPr>
              <w:t>Example Metrics</w:t>
            </w:r>
          </w:p>
        </w:tc>
        <w:tc>
          <w:tcPr>
            <w:tcW w:w="2160" w:type="dxa"/>
            <w:shd w:val="clear" w:color="auto" w:fill="575757" w:themeFill="text2"/>
          </w:tcPr>
          <w:p w14:paraId="3B41F10C" w14:textId="77777777" w:rsidR="001C6A5B" w:rsidRPr="00AA7F25" w:rsidRDefault="001C6A5B" w:rsidP="00C04D8E">
            <w:pPr>
              <w:rPr>
                <w:rFonts w:cs="Calibri"/>
              </w:rPr>
            </w:pPr>
            <w:r w:rsidRPr="00AA7F25">
              <w:rPr>
                <w:rFonts w:cs="Calibri"/>
              </w:rPr>
              <w:t>How to Measure</w:t>
            </w:r>
          </w:p>
        </w:tc>
        <w:tc>
          <w:tcPr>
            <w:tcW w:w="2160" w:type="dxa"/>
            <w:shd w:val="clear" w:color="auto" w:fill="575757" w:themeFill="text2"/>
          </w:tcPr>
          <w:p w14:paraId="6BC938D1" w14:textId="77777777" w:rsidR="001C6A5B" w:rsidRPr="00AA7F25" w:rsidRDefault="001C6A5B" w:rsidP="00C04D8E">
            <w:pPr>
              <w:rPr>
                <w:rFonts w:cs="Calibri"/>
                <w:color w:val="FFFFFF" w:themeColor="background1"/>
              </w:rPr>
            </w:pPr>
            <w:r w:rsidRPr="00AA7F25">
              <w:rPr>
                <w:rFonts w:cs="Calibri"/>
              </w:rPr>
              <w:t>Frequency</w:t>
            </w:r>
          </w:p>
        </w:tc>
      </w:tr>
      <w:tr w:rsidR="001C6A5B" w:rsidRPr="00AA7F25" w14:paraId="4B4ADFF5" w14:textId="77777777" w:rsidTr="00C04D8E">
        <w:tc>
          <w:tcPr>
            <w:tcW w:w="2160" w:type="dxa"/>
          </w:tcPr>
          <w:p w14:paraId="05BAE504" w14:textId="77777777" w:rsidR="001C6A5B" w:rsidRPr="00AA7F25" w:rsidRDefault="001C6A5B" w:rsidP="00C04D8E">
            <w:pPr>
              <w:rPr>
                <w:rFonts w:cs="Calibri"/>
              </w:rPr>
            </w:pPr>
            <w:r w:rsidRPr="00AA7F25">
              <w:rPr>
                <w:rFonts w:cs="Calibri"/>
              </w:rPr>
              <w:t>Carbon reduction</w:t>
            </w:r>
          </w:p>
        </w:tc>
        <w:tc>
          <w:tcPr>
            <w:tcW w:w="2160" w:type="dxa"/>
          </w:tcPr>
          <w:p w14:paraId="6DF08F3C" w14:textId="77777777" w:rsidR="001C6A5B" w:rsidRPr="00AA7F25" w:rsidRDefault="001C6A5B" w:rsidP="00C04D8E">
            <w:pPr>
              <w:rPr>
                <w:rFonts w:cs="Calibri"/>
              </w:rPr>
            </w:pPr>
            <w:r w:rsidRPr="00AA7F25">
              <w:rPr>
                <w:rFonts w:cs="Calibri"/>
              </w:rPr>
              <w:t>Tonnes CO2e avoided</w:t>
            </w:r>
          </w:p>
        </w:tc>
        <w:tc>
          <w:tcPr>
            <w:tcW w:w="2160" w:type="dxa"/>
          </w:tcPr>
          <w:p w14:paraId="40B3E742" w14:textId="77777777" w:rsidR="001C6A5B" w:rsidRPr="00AA7F25" w:rsidRDefault="001C6A5B" w:rsidP="00C04D8E">
            <w:pPr>
              <w:rPr>
                <w:rFonts w:cs="Calibri"/>
              </w:rPr>
            </w:pPr>
            <w:r w:rsidRPr="00AA7F25">
              <w:rPr>
                <w:rFonts w:cs="Calibri"/>
              </w:rPr>
              <w:t>Supplier declarations, CNZ plans</w:t>
            </w:r>
          </w:p>
        </w:tc>
        <w:tc>
          <w:tcPr>
            <w:tcW w:w="2160" w:type="dxa"/>
          </w:tcPr>
          <w:p w14:paraId="50BBAF8F" w14:textId="77777777" w:rsidR="001C6A5B" w:rsidRPr="00AA7F25" w:rsidRDefault="001C6A5B" w:rsidP="00C04D8E">
            <w:pPr>
              <w:rPr>
                <w:rFonts w:cs="Calibri"/>
              </w:rPr>
            </w:pPr>
            <w:r w:rsidRPr="00AA7F25">
              <w:rPr>
                <w:rFonts w:cs="Calibri"/>
              </w:rPr>
              <w:t>Annual</w:t>
            </w:r>
          </w:p>
        </w:tc>
      </w:tr>
      <w:tr w:rsidR="001C6A5B" w:rsidRPr="00AA7F25" w14:paraId="0D30E28F"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127EA022" w14:textId="77777777" w:rsidR="001C6A5B" w:rsidRPr="00AA7F25" w:rsidRDefault="001C6A5B" w:rsidP="00C04D8E">
            <w:pPr>
              <w:rPr>
                <w:rFonts w:cs="Calibri"/>
              </w:rPr>
            </w:pPr>
            <w:r w:rsidRPr="00AA7F25">
              <w:rPr>
                <w:rFonts w:cs="Calibri"/>
              </w:rPr>
              <w:t>Waste reduction</w:t>
            </w:r>
          </w:p>
        </w:tc>
        <w:tc>
          <w:tcPr>
            <w:tcW w:w="2160" w:type="dxa"/>
          </w:tcPr>
          <w:p w14:paraId="1ED201EF" w14:textId="77777777" w:rsidR="001C6A5B" w:rsidRPr="00AA7F25" w:rsidRDefault="001C6A5B" w:rsidP="00C04D8E">
            <w:pPr>
              <w:rPr>
                <w:rFonts w:cs="Calibri"/>
              </w:rPr>
            </w:pPr>
            <w:r w:rsidRPr="00AA7F25">
              <w:rPr>
                <w:rFonts w:cs="Calibri"/>
              </w:rPr>
              <w:t>% of recycled/reused materials</w:t>
            </w:r>
          </w:p>
        </w:tc>
        <w:tc>
          <w:tcPr>
            <w:tcW w:w="2160" w:type="dxa"/>
          </w:tcPr>
          <w:p w14:paraId="79A0EF88" w14:textId="77777777" w:rsidR="001C6A5B" w:rsidRPr="00AA7F25" w:rsidRDefault="001C6A5B" w:rsidP="00C04D8E">
            <w:pPr>
              <w:rPr>
                <w:rFonts w:cs="Calibri"/>
              </w:rPr>
            </w:pPr>
            <w:r w:rsidRPr="00AA7F25">
              <w:rPr>
                <w:rFonts w:cs="Calibri"/>
              </w:rPr>
              <w:t>Supplier reporting</w:t>
            </w:r>
          </w:p>
        </w:tc>
        <w:tc>
          <w:tcPr>
            <w:tcW w:w="2160" w:type="dxa"/>
          </w:tcPr>
          <w:p w14:paraId="2E124013" w14:textId="77777777" w:rsidR="001C6A5B" w:rsidRPr="00AA7F25" w:rsidRDefault="001C6A5B" w:rsidP="00C04D8E">
            <w:pPr>
              <w:rPr>
                <w:rFonts w:cs="Calibri"/>
              </w:rPr>
            </w:pPr>
            <w:r w:rsidRPr="00AA7F25">
              <w:rPr>
                <w:rFonts w:cs="Calibri"/>
              </w:rPr>
              <w:t>Project-based</w:t>
            </w:r>
          </w:p>
        </w:tc>
      </w:tr>
      <w:tr w:rsidR="001C6A5B" w:rsidRPr="00AA7F25" w14:paraId="2ACBC31D" w14:textId="77777777" w:rsidTr="00C04D8E">
        <w:tc>
          <w:tcPr>
            <w:tcW w:w="2160" w:type="dxa"/>
          </w:tcPr>
          <w:p w14:paraId="277050A2" w14:textId="77777777" w:rsidR="001C6A5B" w:rsidRPr="00AA7F25" w:rsidRDefault="001C6A5B" w:rsidP="00C04D8E">
            <w:pPr>
              <w:rPr>
                <w:rFonts w:cs="Calibri"/>
              </w:rPr>
            </w:pPr>
            <w:r w:rsidRPr="00AA7F25">
              <w:rPr>
                <w:rFonts w:cs="Calibri"/>
              </w:rPr>
              <w:t>Sustainable procurement</w:t>
            </w:r>
          </w:p>
        </w:tc>
        <w:tc>
          <w:tcPr>
            <w:tcW w:w="2160" w:type="dxa"/>
          </w:tcPr>
          <w:p w14:paraId="1AD211AC" w14:textId="77777777" w:rsidR="001C6A5B" w:rsidRPr="00AA7F25" w:rsidRDefault="001C6A5B" w:rsidP="00C04D8E">
            <w:pPr>
              <w:rPr>
                <w:rFonts w:cs="Calibri"/>
              </w:rPr>
            </w:pPr>
            <w:r w:rsidRPr="00AA7F25">
              <w:rPr>
                <w:rFonts w:cs="Calibri"/>
              </w:rPr>
              <w:t>% of contracts with sustainability criteria</w:t>
            </w:r>
          </w:p>
        </w:tc>
        <w:tc>
          <w:tcPr>
            <w:tcW w:w="2160" w:type="dxa"/>
          </w:tcPr>
          <w:p w14:paraId="07FCBD84" w14:textId="77777777" w:rsidR="001C6A5B" w:rsidRPr="00AA7F25" w:rsidRDefault="001C6A5B" w:rsidP="00C04D8E">
            <w:pPr>
              <w:rPr>
                <w:rFonts w:cs="Calibri"/>
              </w:rPr>
            </w:pPr>
            <w:r w:rsidRPr="00AA7F25">
              <w:rPr>
                <w:rFonts w:cs="Calibri"/>
              </w:rPr>
              <w:t>Contract reviews</w:t>
            </w:r>
          </w:p>
        </w:tc>
        <w:tc>
          <w:tcPr>
            <w:tcW w:w="2160" w:type="dxa"/>
          </w:tcPr>
          <w:p w14:paraId="05FF361E" w14:textId="77777777" w:rsidR="001C6A5B" w:rsidRPr="00AA7F25" w:rsidRDefault="001C6A5B" w:rsidP="00C04D8E">
            <w:pPr>
              <w:rPr>
                <w:rFonts w:cs="Calibri"/>
              </w:rPr>
            </w:pPr>
            <w:r w:rsidRPr="00AA7F25">
              <w:rPr>
                <w:rFonts w:cs="Calibri"/>
              </w:rPr>
              <w:t>Quarterly</w:t>
            </w:r>
          </w:p>
        </w:tc>
      </w:tr>
    </w:tbl>
    <w:p w14:paraId="6608FB6F" w14:textId="77777777" w:rsidR="001C6A5B" w:rsidRPr="001C6A5B" w:rsidRDefault="001C6A5B" w:rsidP="001C6A5B">
      <w:pPr>
        <w:pStyle w:val="Heading2"/>
        <w:rPr>
          <w:rFonts w:ascii="Calibri" w:hAnsi="Calibri" w:cs="Calibri"/>
          <w:sz w:val="28"/>
          <w:szCs w:val="28"/>
        </w:rPr>
      </w:pPr>
      <w:r w:rsidRPr="001C6A5B">
        <w:rPr>
          <w:rFonts w:ascii="Calibri" w:hAnsi="Calibri" w:cs="Calibri"/>
          <w:sz w:val="28"/>
          <w:szCs w:val="28"/>
        </w:rPr>
        <w:t>D. Strategic Influence</w:t>
      </w:r>
    </w:p>
    <w:p w14:paraId="01A2D19B" w14:textId="77777777" w:rsidR="001C6A5B" w:rsidRPr="00AA7F25" w:rsidRDefault="001C6A5B" w:rsidP="001C6A5B">
      <w:pPr>
        <w:rPr>
          <w:rFonts w:cs="Calibri"/>
        </w:rPr>
      </w:pPr>
      <w:r w:rsidRPr="00AA7F25">
        <w:rPr>
          <w:rFonts w:cs="Calibri"/>
        </w:rPr>
        <w:t>Strategic influence refers to the value derived from shaping markets, collaborating with other organisations, or helping suppliers build capability. This may not always involve direct financial spend but can have substantial long-term impact.</w:t>
      </w:r>
    </w:p>
    <w:p w14:paraId="5E4FD995" w14:textId="77777777" w:rsidR="001C6A5B" w:rsidRPr="00AA7F25" w:rsidRDefault="001C6A5B" w:rsidP="001C6A5B">
      <w:pPr>
        <w:pStyle w:val="ListParagraph"/>
        <w:numPr>
          <w:ilvl w:val="0"/>
          <w:numId w:val="28"/>
        </w:numPr>
        <w:tabs>
          <w:tab w:val="clear" w:pos="284"/>
        </w:tabs>
        <w:spacing w:afterLines="0" w:after="200" w:line="276" w:lineRule="auto"/>
        <w:rPr>
          <w:rFonts w:cs="Calibri"/>
        </w:rPr>
      </w:pPr>
      <w:r w:rsidRPr="00AA7F25">
        <w:rPr>
          <w:rFonts w:cs="Calibri"/>
        </w:rPr>
        <w:t>Collaboration: Count the number of joint procurements or shared service agreements undertaken with other MATs, local authorities or institutions.</w:t>
      </w:r>
    </w:p>
    <w:p w14:paraId="385B24C3" w14:textId="77777777" w:rsidR="001C6A5B" w:rsidRPr="00AA7F25" w:rsidRDefault="001C6A5B" w:rsidP="001C6A5B">
      <w:pPr>
        <w:pStyle w:val="ListParagraph"/>
        <w:numPr>
          <w:ilvl w:val="0"/>
          <w:numId w:val="28"/>
        </w:numPr>
        <w:tabs>
          <w:tab w:val="clear" w:pos="284"/>
        </w:tabs>
        <w:spacing w:afterLines="0" w:after="200" w:line="276" w:lineRule="auto"/>
        <w:rPr>
          <w:rFonts w:cs="Calibri"/>
        </w:rPr>
      </w:pPr>
      <w:r w:rsidRPr="00AA7F25">
        <w:rPr>
          <w:rFonts w:cs="Calibri"/>
        </w:rPr>
        <w:t>Market Shaping: Record supplier engagement activity and outcomes (e.g., innovation workshops, specification development).</w:t>
      </w:r>
    </w:p>
    <w:p w14:paraId="1B9E26E8" w14:textId="77777777" w:rsidR="001C6A5B" w:rsidRDefault="001C6A5B" w:rsidP="001C6A5B">
      <w:pPr>
        <w:pStyle w:val="ListParagraph"/>
        <w:numPr>
          <w:ilvl w:val="0"/>
          <w:numId w:val="28"/>
        </w:numPr>
        <w:tabs>
          <w:tab w:val="clear" w:pos="284"/>
        </w:tabs>
        <w:spacing w:afterLines="0" w:after="200" w:line="276" w:lineRule="auto"/>
        <w:rPr>
          <w:rFonts w:cs="Calibri"/>
        </w:rPr>
      </w:pPr>
      <w:r w:rsidRPr="00AA7F25">
        <w:rPr>
          <w:rFonts w:cs="Calibri"/>
        </w:rPr>
        <w:t>Supplier Development: Measure MAT-led efforts to help suppliers, particularly SMEs or VCSEs, improve their capacity to deliver (e.g., training, feedback loops).</w:t>
      </w:r>
    </w:p>
    <w:p w14:paraId="1D47527F" w14:textId="77777777" w:rsidR="001C6A5B" w:rsidRDefault="001C6A5B" w:rsidP="001C6A5B">
      <w:pPr>
        <w:tabs>
          <w:tab w:val="clear" w:pos="284"/>
        </w:tabs>
        <w:spacing w:after="200" w:line="276" w:lineRule="auto"/>
        <w:rPr>
          <w:rFonts w:cs="Calibri"/>
        </w:rPr>
      </w:pPr>
    </w:p>
    <w:p w14:paraId="54349F29" w14:textId="77777777" w:rsidR="001C6A5B" w:rsidRDefault="001C6A5B" w:rsidP="001C6A5B">
      <w:pPr>
        <w:tabs>
          <w:tab w:val="clear" w:pos="284"/>
        </w:tabs>
        <w:spacing w:after="200" w:line="276" w:lineRule="auto"/>
        <w:rPr>
          <w:rFonts w:cs="Calibri"/>
        </w:rPr>
      </w:pPr>
    </w:p>
    <w:p w14:paraId="01CADD9C" w14:textId="77777777" w:rsidR="001C6A5B" w:rsidRDefault="001C6A5B" w:rsidP="001C6A5B">
      <w:pPr>
        <w:tabs>
          <w:tab w:val="clear" w:pos="284"/>
        </w:tabs>
        <w:spacing w:after="200" w:line="276" w:lineRule="auto"/>
        <w:rPr>
          <w:rFonts w:cs="Calibri"/>
        </w:rPr>
      </w:pPr>
    </w:p>
    <w:p w14:paraId="473D50BA" w14:textId="77777777" w:rsidR="000D4F36" w:rsidRDefault="000D4F36" w:rsidP="001C6A5B">
      <w:pPr>
        <w:tabs>
          <w:tab w:val="clear" w:pos="284"/>
        </w:tabs>
        <w:spacing w:after="200" w:line="276" w:lineRule="auto"/>
        <w:rPr>
          <w:rFonts w:cs="Calibri"/>
        </w:rPr>
      </w:pPr>
    </w:p>
    <w:p w14:paraId="5EA46ADC" w14:textId="77777777" w:rsidR="001C6A5B" w:rsidRPr="001C6A5B" w:rsidRDefault="001C6A5B" w:rsidP="001C6A5B">
      <w:pPr>
        <w:tabs>
          <w:tab w:val="clear" w:pos="284"/>
        </w:tabs>
        <w:spacing w:after="200" w:line="276" w:lineRule="auto"/>
        <w:rPr>
          <w:rFonts w:cs="Calibri"/>
        </w:rPr>
      </w:pPr>
    </w:p>
    <w:tbl>
      <w:tblPr>
        <w:tblStyle w:val="TableGrid"/>
        <w:tblW w:w="0" w:type="auto"/>
        <w:tblLook w:val="04A0" w:firstRow="1" w:lastRow="0" w:firstColumn="1" w:lastColumn="0" w:noHBand="0" w:noVBand="1"/>
      </w:tblPr>
      <w:tblGrid>
        <w:gridCol w:w="2160"/>
        <w:gridCol w:w="2160"/>
        <w:gridCol w:w="2160"/>
        <w:gridCol w:w="2160"/>
      </w:tblGrid>
      <w:tr w:rsidR="001C6A5B" w:rsidRPr="00AA7F25" w14:paraId="5B601B50" w14:textId="77777777" w:rsidTr="00C04D8E">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575757" w:themeFill="text2"/>
          </w:tcPr>
          <w:p w14:paraId="64A454CF" w14:textId="77777777" w:rsidR="001C6A5B" w:rsidRPr="00AA7F25" w:rsidRDefault="001C6A5B" w:rsidP="00C04D8E">
            <w:pPr>
              <w:rPr>
                <w:rFonts w:cs="Calibri"/>
                <w:color w:val="FFFFFF" w:themeColor="background1"/>
              </w:rPr>
            </w:pPr>
            <w:r w:rsidRPr="00AA7F25">
              <w:rPr>
                <w:rFonts w:cs="Calibri"/>
                <w:color w:val="FFFFFF" w:themeColor="background1"/>
              </w:rPr>
              <w:lastRenderedPageBreak/>
              <w:t>Type</w:t>
            </w:r>
          </w:p>
        </w:tc>
        <w:tc>
          <w:tcPr>
            <w:tcW w:w="2160" w:type="dxa"/>
            <w:shd w:val="clear" w:color="auto" w:fill="575757" w:themeFill="text2"/>
          </w:tcPr>
          <w:p w14:paraId="0F5686B5" w14:textId="77777777" w:rsidR="001C6A5B" w:rsidRPr="00AA7F25" w:rsidRDefault="001C6A5B" w:rsidP="00C04D8E">
            <w:pPr>
              <w:rPr>
                <w:rFonts w:cs="Calibri"/>
                <w:color w:val="FFFFFF" w:themeColor="background1"/>
              </w:rPr>
            </w:pPr>
            <w:r w:rsidRPr="00AA7F25">
              <w:rPr>
                <w:rFonts w:cs="Calibri"/>
                <w:color w:val="FFFFFF" w:themeColor="background1"/>
              </w:rPr>
              <w:t>Example Metrics</w:t>
            </w:r>
          </w:p>
        </w:tc>
        <w:tc>
          <w:tcPr>
            <w:tcW w:w="2160" w:type="dxa"/>
            <w:shd w:val="clear" w:color="auto" w:fill="575757" w:themeFill="text2"/>
          </w:tcPr>
          <w:p w14:paraId="057A8AC0" w14:textId="77777777" w:rsidR="001C6A5B" w:rsidRPr="00AA7F25" w:rsidRDefault="001C6A5B" w:rsidP="00C04D8E">
            <w:pPr>
              <w:rPr>
                <w:rFonts w:cs="Calibri"/>
                <w:color w:val="FFFFFF" w:themeColor="background1"/>
              </w:rPr>
            </w:pPr>
            <w:r w:rsidRPr="00AA7F25">
              <w:rPr>
                <w:rFonts w:cs="Calibri"/>
                <w:color w:val="FFFFFF" w:themeColor="background1"/>
              </w:rPr>
              <w:t>How to Measure</w:t>
            </w:r>
          </w:p>
        </w:tc>
        <w:tc>
          <w:tcPr>
            <w:tcW w:w="2160" w:type="dxa"/>
            <w:shd w:val="clear" w:color="auto" w:fill="575757" w:themeFill="text2"/>
          </w:tcPr>
          <w:p w14:paraId="492995AE" w14:textId="77777777" w:rsidR="001C6A5B" w:rsidRPr="00AA7F25" w:rsidRDefault="001C6A5B" w:rsidP="00C04D8E">
            <w:pPr>
              <w:rPr>
                <w:rFonts w:cs="Calibri"/>
                <w:color w:val="FFFFFF" w:themeColor="background1"/>
              </w:rPr>
            </w:pPr>
            <w:r w:rsidRPr="00AA7F25">
              <w:rPr>
                <w:rFonts w:cs="Calibri"/>
                <w:color w:val="FFFFFF" w:themeColor="background1"/>
              </w:rPr>
              <w:t>Frequency</w:t>
            </w:r>
          </w:p>
        </w:tc>
      </w:tr>
      <w:tr w:rsidR="001C6A5B" w:rsidRPr="00AA7F25" w14:paraId="6827A559" w14:textId="77777777" w:rsidTr="00C04D8E">
        <w:tc>
          <w:tcPr>
            <w:tcW w:w="2160" w:type="dxa"/>
          </w:tcPr>
          <w:p w14:paraId="1104A382" w14:textId="77777777" w:rsidR="001C6A5B" w:rsidRPr="00AA7F25" w:rsidRDefault="001C6A5B" w:rsidP="00C04D8E">
            <w:pPr>
              <w:rPr>
                <w:rFonts w:cs="Calibri"/>
              </w:rPr>
            </w:pPr>
            <w:r w:rsidRPr="00AA7F25">
              <w:rPr>
                <w:rFonts w:cs="Calibri"/>
              </w:rPr>
              <w:t>Collaboration</w:t>
            </w:r>
          </w:p>
        </w:tc>
        <w:tc>
          <w:tcPr>
            <w:tcW w:w="2160" w:type="dxa"/>
          </w:tcPr>
          <w:p w14:paraId="7A0164BA" w14:textId="77777777" w:rsidR="001C6A5B" w:rsidRPr="00AA7F25" w:rsidRDefault="001C6A5B" w:rsidP="00C04D8E">
            <w:pPr>
              <w:rPr>
                <w:rFonts w:cs="Calibri"/>
              </w:rPr>
            </w:pPr>
            <w:r w:rsidRPr="00AA7F25">
              <w:rPr>
                <w:rFonts w:cs="Calibri"/>
              </w:rPr>
              <w:t>Joint procurements or shared contracts</w:t>
            </w:r>
          </w:p>
        </w:tc>
        <w:tc>
          <w:tcPr>
            <w:tcW w:w="2160" w:type="dxa"/>
          </w:tcPr>
          <w:p w14:paraId="22821DBF" w14:textId="77777777" w:rsidR="001C6A5B" w:rsidRPr="00AA7F25" w:rsidRDefault="001C6A5B" w:rsidP="00C04D8E">
            <w:pPr>
              <w:rPr>
                <w:rFonts w:cs="Calibri"/>
              </w:rPr>
            </w:pPr>
            <w:r w:rsidRPr="00AA7F25">
              <w:rPr>
                <w:rFonts w:cs="Calibri"/>
              </w:rPr>
              <w:t>Number of collaborations</w:t>
            </w:r>
          </w:p>
        </w:tc>
        <w:tc>
          <w:tcPr>
            <w:tcW w:w="2160" w:type="dxa"/>
          </w:tcPr>
          <w:p w14:paraId="74BBEAB2" w14:textId="77777777" w:rsidR="001C6A5B" w:rsidRPr="00AA7F25" w:rsidRDefault="001C6A5B" w:rsidP="00C04D8E">
            <w:pPr>
              <w:rPr>
                <w:rFonts w:cs="Calibri"/>
              </w:rPr>
            </w:pPr>
            <w:r w:rsidRPr="00AA7F25">
              <w:rPr>
                <w:rFonts w:cs="Calibri"/>
              </w:rPr>
              <w:t>Annual</w:t>
            </w:r>
          </w:p>
        </w:tc>
      </w:tr>
      <w:tr w:rsidR="001C6A5B" w:rsidRPr="00AA7F25" w14:paraId="3CACC66A" w14:textId="77777777" w:rsidTr="00C04D8E">
        <w:trPr>
          <w:cnfStyle w:val="000000010000" w:firstRow="0" w:lastRow="0" w:firstColumn="0" w:lastColumn="0" w:oddVBand="0" w:evenVBand="0" w:oddHBand="0" w:evenHBand="1" w:firstRowFirstColumn="0" w:firstRowLastColumn="0" w:lastRowFirstColumn="0" w:lastRowLastColumn="0"/>
        </w:trPr>
        <w:tc>
          <w:tcPr>
            <w:tcW w:w="2160" w:type="dxa"/>
          </w:tcPr>
          <w:p w14:paraId="53FF3CBE" w14:textId="77777777" w:rsidR="001C6A5B" w:rsidRPr="00AA7F25" w:rsidRDefault="001C6A5B" w:rsidP="00C04D8E">
            <w:pPr>
              <w:rPr>
                <w:rFonts w:cs="Calibri"/>
              </w:rPr>
            </w:pPr>
            <w:r w:rsidRPr="00AA7F25">
              <w:rPr>
                <w:rFonts w:cs="Calibri"/>
              </w:rPr>
              <w:t>Market shaping</w:t>
            </w:r>
          </w:p>
        </w:tc>
        <w:tc>
          <w:tcPr>
            <w:tcW w:w="2160" w:type="dxa"/>
          </w:tcPr>
          <w:p w14:paraId="01CA3712" w14:textId="77777777" w:rsidR="001C6A5B" w:rsidRPr="00AA7F25" w:rsidRDefault="001C6A5B" w:rsidP="00C04D8E">
            <w:pPr>
              <w:rPr>
                <w:rFonts w:cs="Calibri"/>
              </w:rPr>
            </w:pPr>
            <w:r w:rsidRPr="00AA7F25">
              <w:rPr>
                <w:rFonts w:cs="Calibri"/>
              </w:rPr>
              <w:t>Supplier engagement to develop solutions</w:t>
            </w:r>
          </w:p>
        </w:tc>
        <w:tc>
          <w:tcPr>
            <w:tcW w:w="2160" w:type="dxa"/>
          </w:tcPr>
          <w:p w14:paraId="45AF4C2F" w14:textId="77777777" w:rsidR="001C6A5B" w:rsidRPr="00AA7F25" w:rsidRDefault="001C6A5B" w:rsidP="00C04D8E">
            <w:pPr>
              <w:rPr>
                <w:rFonts w:cs="Calibri"/>
              </w:rPr>
            </w:pPr>
            <w:r w:rsidRPr="00AA7F25">
              <w:rPr>
                <w:rFonts w:cs="Calibri"/>
              </w:rPr>
              <w:t>Case studies, feedback logs</w:t>
            </w:r>
          </w:p>
        </w:tc>
        <w:tc>
          <w:tcPr>
            <w:tcW w:w="2160" w:type="dxa"/>
          </w:tcPr>
          <w:p w14:paraId="710A8C14" w14:textId="77777777" w:rsidR="001C6A5B" w:rsidRPr="00AA7F25" w:rsidRDefault="001C6A5B" w:rsidP="00C04D8E">
            <w:pPr>
              <w:rPr>
                <w:rFonts w:cs="Calibri"/>
              </w:rPr>
            </w:pPr>
            <w:r w:rsidRPr="00AA7F25">
              <w:rPr>
                <w:rFonts w:cs="Calibri"/>
              </w:rPr>
              <w:t>Project-based</w:t>
            </w:r>
          </w:p>
        </w:tc>
      </w:tr>
      <w:tr w:rsidR="001C6A5B" w:rsidRPr="00AA7F25" w14:paraId="33218121" w14:textId="77777777" w:rsidTr="00C04D8E">
        <w:tc>
          <w:tcPr>
            <w:tcW w:w="2160" w:type="dxa"/>
          </w:tcPr>
          <w:p w14:paraId="4B44A0C1" w14:textId="77777777" w:rsidR="001C6A5B" w:rsidRPr="00AA7F25" w:rsidRDefault="001C6A5B" w:rsidP="00C04D8E">
            <w:pPr>
              <w:rPr>
                <w:rFonts w:cs="Calibri"/>
              </w:rPr>
            </w:pPr>
            <w:r w:rsidRPr="00AA7F25">
              <w:rPr>
                <w:rFonts w:cs="Calibri"/>
              </w:rPr>
              <w:t>Supplier development</w:t>
            </w:r>
          </w:p>
        </w:tc>
        <w:tc>
          <w:tcPr>
            <w:tcW w:w="2160" w:type="dxa"/>
          </w:tcPr>
          <w:p w14:paraId="22D7FA8F" w14:textId="77777777" w:rsidR="001C6A5B" w:rsidRPr="00AA7F25" w:rsidRDefault="001C6A5B" w:rsidP="00C04D8E">
            <w:pPr>
              <w:rPr>
                <w:rFonts w:cs="Calibri"/>
              </w:rPr>
            </w:pPr>
            <w:r w:rsidRPr="00AA7F25">
              <w:rPr>
                <w:rFonts w:cs="Calibri"/>
              </w:rPr>
              <w:t>Support to SME/VCSE growth</w:t>
            </w:r>
          </w:p>
        </w:tc>
        <w:tc>
          <w:tcPr>
            <w:tcW w:w="2160" w:type="dxa"/>
          </w:tcPr>
          <w:p w14:paraId="52B40FBF" w14:textId="77777777" w:rsidR="001C6A5B" w:rsidRPr="00AA7F25" w:rsidRDefault="001C6A5B" w:rsidP="00C04D8E">
            <w:pPr>
              <w:rPr>
                <w:rFonts w:cs="Calibri"/>
              </w:rPr>
            </w:pPr>
            <w:r w:rsidRPr="00AA7F25">
              <w:rPr>
                <w:rFonts w:cs="Calibri"/>
              </w:rPr>
              <w:t>Supplier feedback, programme data</w:t>
            </w:r>
          </w:p>
        </w:tc>
        <w:tc>
          <w:tcPr>
            <w:tcW w:w="2160" w:type="dxa"/>
          </w:tcPr>
          <w:p w14:paraId="60CCFD62" w14:textId="77777777" w:rsidR="001C6A5B" w:rsidRPr="00AA7F25" w:rsidRDefault="001C6A5B" w:rsidP="00C04D8E">
            <w:pPr>
              <w:rPr>
                <w:rFonts w:cs="Calibri"/>
              </w:rPr>
            </w:pPr>
            <w:r w:rsidRPr="00AA7F25">
              <w:rPr>
                <w:rFonts w:cs="Calibri"/>
              </w:rPr>
              <w:t>Annual</w:t>
            </w:r>
          </w:p>
        </w:tc>
      </w:tr>
    </w:tbl>
    <w:p w14:paraId="27639160" w14:textId="77777777" w:rsidR="001C6A5B" w:rsidRDefault="001C6A5B" w:rsidP="001C6A5B">
      <w:pPr>
        <w:pStyle w:val="Heading1"/>
        <w:rPr>
          <w:rFonts w:ascii="Calibri" w:hAnsi="Calibri" w:cs="Calibri"/>
          <w:sz w:val="32"/>
          <w:szCs w:val="32"/>
        </w:rPr>
      </w:pPr>
    </w:p>
    <w:p w14:paraId="31CCE72B" w14:textId="77777777" w:rsidR="001C6A5B" w:rsidRPr="00AA7F25" w:rsidRDefault="001C6A5B" w:rsidP="001C6A5B">
      <w:pPr>
        <w:pStyle w:val="Heading1"/>
        <w:rPr>
          <w:rFonts w:ascii="Calibri" w:hAnsi="Calibri" w:cs="Calibri"/>
          <w:sz w:val="32"/>
          <w:szCs w:val="32"/>
        </w:rPr>
      </w:pPr>
      <w:r w:rsidRPr="00AA7F25">
        <w:rPr>
          <w:rFonts w:ascii="Calibri" w:hAnsi="Calibri" w:cs="Calibri"/>
          <w:sz w:val="32"/>
          <w:szCs w:val="32"/>
        </w:rPr>
        <w:t>4. Tools &amp; Enablers</w:t>
      </w:r>
    </w:p>
    <w:p w14:paraId="1CCD278D" w14:textId="77777777" w:rsidR="001C6A5B" w:rsidRPr="00AA7F25" w:rsidRDefault="001C6A5B" w:rsidP="001C6A5B">
      <w:pPr>
        <w:pStyle w:val="ListBullet"/>
        <w:numPr>
          <w:ilvl w:val="0"/>
          <w:numId w:val="29"/>
        </w:numPr>
        <w:rPr>
          <w:rFonts w:ascii="Calibri" w:hAnsi="Calibri" w:cs="Calibri"/>
          <w:lang w:val="en-GB"/>
        </w:rPr>
      </w:pPr>
      <w:r w:rsidRPr="00AA7F25">
        <w:rPr>
          <w:rFonts w:ascii="Calibri" w:hAnsi="Calibri" w:cs="Calibri"/>
          <w:lang w:val="en-GB"/>
        </w:rPr>
        <w:t>Benefit Log Template – for consistent local recording by Business Managers and Procurement Leads</w:t>
      </w:r>
    </w:p>
    <w:p w14:paraId="05731847" w14:textId="77777777" w:rsidR="001C6A5B" w:rsidRPr="00AA7F25" w:rsidRDefault="001C6A5B" w:rsidP="001C6A5B">
      <w:pPr>
        <w:pStyle w:val="ListBullet"/>
        <w:numPr>
          <w:ilvl w:val="0"/>
          <w:numId w:val="29"/>
        </w:numPr>
        <w:rPr>
          <w:rFonts w:ascii="Calibri" w:hAnsi="Calibri" w:cs="Calibri"/>
          <w:lang w:val="en-GB"/>
        </w:rPr>
      </w:pPr>
      <w:r w:rsidRPr="00AA7F25">
        <w:rPr>
          <w:rFonts w:ascii="Calibri" w:hAnsi="Calibri" w:cs="Calibri"/>
          <w:lang w:val="en-GB"/>
        </w:rPr>
        <w:t>Contract Management Review Toolkit – with structured prompts for capturing wider value beyond compliance</w:t>
      </w:r>
    </w:p>
    <w:p w14:paraId="2B771D48" w14:textId="77777777" w:rsidR="001C6A5B" w:rsidRPr="00AA7F25" w:rsidRDefault="001C6A5B" w:rsidP="001C6A5B">
      <w:pPr>
        <w:pStyle w:val="ListBullet"/>
        <w:numPr>
          <w:ilvl w:val="0"/>
          <w:numId w:val="29"/>
        </w:numPr>
        <w:rPr>
          <w:rFonts w:ascii="Calibri" w:hAnsi="Calibri" w:cs="Calibri"/>
          <w:lang w:val="en-GB"/>
        </w:rPr>
      </w:pPr>
      <w:r w:rsidRPr="00AA7F25">
        <w:rPr>
          <w:rFonts w:ascii="Calibri" w:hAnsi="Calibri" w:cs="Calibri"/>
          <w:lang w:val="en-GB"/>
        </w:rPr>
        <w:t>Supplier Self-Reporting Tool – to make social and environmental reporting simple and proportionate</w:t>
      </w:r>
    </w:p>
    <w:p w14:paraId="13AB238F" w14:textId="77777777" w:rsidR="001C6A5B" w:rsidRPr="00AA7F25" w:rsidRDefault="001C6A5B" w:rsidP="001C6A5B">
      <w:pPr>
        <w:pStyle w:val="ListBullet"/>
        <w:numPr>
          <w:ilvl w:val="0"/>
          <w:numId w:val="29"/>
        </w:numPr>
        <w:rPr>
          <w:rFonts w:ascii="Calibri" w:hAnsi="Calibri" w:cs="Calibri"/>
          <w:lang w:val="en-GB"/>
        </w:rPr>
      </w:pPr>
      <w:r w:rsidRPr="00AA7F25">
        <w:rPr>
          <w:rFonts w:ascii="Calibri" w:hAnsi="Calibri" w:cs="Calibri"/>
          <w:lang w:val="en-GB"/>
        </w:rPr>
        <w:t>Visual Dashboards (Excel/Power BI) – for clear, aggregated reporting across the Trust</w:t>
      </w:r>
    </w:p>
    <w:p w14:paraId="277FD49B" w14:textId="77777777" w:rsidR="001C6A5B" w:rsidRPr="00AA7F25" w:rsidRDefault="001C6A5B" w:rsidP="001C6A5B">
      <w:pPr>
        <w:pStyle w:val="ListBullet"/>
        <w:numPr>
          <w:ilvl w:val="0"/>
          <w:numId w:val="29"/>
        </w:numPr>
        <w:rPr>
          <w:rFonts w:ascii="Calibri" w:hAnsi="Calibri" w:cs="Calibri"/>
          <w:lang w:val="en-GB"/>
        </w:rPr>
      </w:pPr>
      <w:r w:rsidRPr="00AA7F25">
        <w:rPr>
          <w:rFonts w:ascii="Calibri" w:hAnsi="Calibri" w:cs="Calibri"/>
          <w:lang w:val="en-GB"/>
        </w:rPr>
        <w:t>Case Study Template – to collect and share qualitative evidence alongside quantitative metrics</w:t>
      </w:r>
    </w:p>
    <w:p w14:paraId="6E0C05DD" w14:textId="77777777" w:rsidR="001C6A5B" w:rsidRDefault="001C6A5B" w:rsidP="001C6A5B">
      <w:pPr>
        <w:pStyle w:val="Heading1"/>
        <w:rPr>
          <w:rFonts w:ascii="Calibri" w:hAnsi="Calibri" w:cs="Calibri"/>
          <w:sz w:val="32"/>
          <w:szCs w:val="32"/>
        </w:rPr>
      </w:pPr>
      <w:r w:rsidRPr="00AA7F25">
        <w:rPr>
          <w:rFonts w:ascii="Calibri" w:hAnsi="Calibri" w:cs="Calibri"/>
          <w:sz w:val="32"/>
          <w:szCs w:val="32"/>
        </w:rPr>
        <w:t>5. Roles &amp; Responsibilities</w:t>
      </w:r>
    </w:p>
    <w:p w14:paraId="5E49DB08" w14:textId="77777777" w:rsidR="001C6A5B" w:rsidRPr="00AA7F25" w:rsidRDefault="001C6A5B" w:rsidP="001C6A5B">
      <w:pPr>
        <w:rPr>
          <w:rFonts w:cs="Calibri"/>
        </w:rPr>
      </w:pPr>
      <w:r w:rsidRPr="00AA7F25">
        <w:rPr>
          <w:rFonts w:cs="Calibri"/>
        </w:rPr>
        <w:t>Clear responsibilities ensure the framework is consistently applied and that benefits data is captured in a meaningful way across the Trust.</w:t>
      </w:r>
    </w:p>
    <w:p w14:paraId="5264A389" w14:textId="77777777" w:rsidR="001C6A5B" w:rsidRPr="00AA7F25" w:rsidRDefault="001C6A5B" w:rsidP="001C6A5B">
      <w:pPr>
        <w:pStyle w:val="ListBullet"/>
        <w:numPr>
          <w:ilvl w:val="0"/>
          <w:numId w:val="30"/>
        </w:numPr>
        <w:rPr>
          <w:rFonts w:ascii="Calibri" w:hAnsi="Calibri" w:cs="Calibri"/>
          <w:lang w:val="en-GB"/>
        </w:rPr>
      </w:pPr>
      <w:r w:rsidRPr="00AA7F25">
        <w:rPr>
          <w:rFonts w:ascii="Calibri" w:hAnsi="Calibri" w:cs="Calibri"/>
          <w:lang w:val="en-GB"/>
        </w:rPr>
        <w:t>Trust Procurement Lead: Oversight of framework, ensure data quality, and report to Board</w:t>
      </w:r>
    </w:p>
    <w:p w14:paraId="79E2B29B" w14:textId="77777777" w:rsidR="001C6A5B" w:rsidRPr="00AA7F25" w:rsidRDefault="001C6A5B" w:rsidP="001C6A5B">
      <w:pPr>
        <w:pStyle w:val="ListBullet"/>
        <w:numPr>
          <w:ilvl w:val="0"/>
          <w:numId w:val="30"/>
        </w:numPr>
        <w:rPr>
          <w:rFonts w:ascii="Calibri" w:hAnsi="Calibri" w:cs="Calibri"/>
          <w:lang w:val="en-GB"/>
        </w:rPr>
      </w:pPr>
      <w:r w:rsidRPr="00AA7F25">
        <w:rPr>
          <w:rFonts w:ascii="Calibri" w:hAnsi="Calibri" w:cs="Calibri"/>
          <w:lang w:val="en-GB"/>
        </w:rPr>
        <w:t>Academy Business Managers: Complete benefit logs, engage suppliers, and input into contract reviews</w:t>
      </w:r>
    </w:p>
    <w:p w14:paraId="08EADD79" w14:textId="77777777" w:rsidR="001C6A5B" w:rsidRPr="00AA7F25" w:rsidRDefault="001C6A5B" w:rsidP="001C6A5B">
      <w:pPr>
        <w:pStyle w:val="ListBullet"/>
        <w:numPr>
          <w:ilvl w:val="0"/>
          <w:numId w:val="30"/>
        </w:numPr>
        <w:rPr>
          <w:rFonts w:ascii="Calibri" w:hAnsi="Calibri" w:cs="Calibri"/>
          <w:lang w:val="en-GB"/>
        </w:rPr>
      </w:pPr>
      <w:r w:rsidRPr="00AA7F25">
        <w:rPr>
          <w:rFonts w:ascii="Calibri" w:hAnsi="Calibri" w:cs="Calibri"/>
          <w:lang w:val="en-GB"/>
        </w:rPr>
        <w:t>Suppliers/Contractors: Provide performance data, including social value and environmental metrics</w:t>
      </w:r>
    </w:p>
    <w:p w14:paraId="353F137F" w14:textId="77777777" w:rsidR="001C6A5B" w:rsidRDefault="001C6A5B" w:rsidP="001C6A5B">
      <w:pPr>
        <w:pStyle w:val="ListBullet"/>
        <w:numPr>
          <w:ilvl w:val="0"/>
          <w:numId w:val="30"/>
        </w:numPr>
        <w:rPr>
          <w:rFonts w:ascii="Calibri" w:hAnsi="Calibri" w:cs="Calibri"/>
          <w:lang w:val="en-GB"/>
        </w:rPr>
      </w:pPr>
      <w:r w:rsidRPr="00AA7F25">
        <w:rPr>
          <w:rFonts w:ascii="Calibri" w:hAnsi="Calibri" w:cs="Calibri"/>
          <w:lang w:val="en-GB"/>
        </w:rPr>
        <w:t>Students/Community Reps: Offer feedback on placements and community impact where relevant</w:t>
      </w:r>
    </w:p>
    <w:p w14:paraId="4FDBACE1" w14:textId="77777777" w:rsidR="001C6A5B" w:rsidRPr="00AA7F25" w:rsidRDefault="001C6A5B" w:rsidP="001C6A5B">
      <w:pPr>
        <w:pStyle w:val="ListBullet"/>
        <w:ind w:left="720"/>
        <w:rPr>
          <w:rFonts w:ascii="Calibri" w:hAnsi="Calibri" w:cs="Calibri"/>
          <w:lang w:val="en-GB"/>
        </w:rPr>
      </w:pPr>
    </w:p>
    <w:p w14:paraId="398400FD" w14:textId="77777777" w:rsidR="001C6A5B" w:rsidRPr="00AA7F25" w:rsidRDefault="001C6A5B" w:rsidP="001C6A5B">
      <w:pPr>
        <w:pStyle w:val="Heading1"/>
        <w:rPr>
          <w:rFonts w:ascii="Calibri" w:hAnsi="Calibri" w:cs="Calibri"/>
          <w:sz w:val="32"/>
          <w:szCs w:val="32"/>
        </w:rPr>
      </w:pPr>
      <w:r w:rsidRPr="00AA7F25">
        <w:rPr>
          <w:rFonts w:ascii="Calibri" w:hAnsi="Calibri" w:cs="Calibri"/>
          <w:sz w:val="32"/>
          <w:szCs w:val="32"/>
        </w:rPr>
        <w:lastRenderedPageBreak/>
        <w:t>6. Reporting &amp; Governance</w:t>
      </w:r>
    </w:p>
    <w:p w14:paraId="1826CE2B" w14:textId="77777777" w:rsidR="001C6A5B" w:rsidRPr="00AA7F25" w:rsidRDefault="001C6A5B" w:rsidP="001C6A5B">
      <w:pPr>
        <w:rPr>
          <w:rFonts w:cs="Calibri"/>
        </w:rPr>
      </w:pPr>
      <w:r w:rsidRPr="00AA7F25">
        <w:rPr>
          <w:rFonts w:cs="Calibri"/>
        </w:rPr>
        <w:t>Reporting and governance arrangements should be embedded within existing management cycles, helping to drive continuous improvement and demonstrate value-for-money.</w:t>
      </w:r>
    </w:p>
    <w:p w14:paraId="23BFFC73" w14:textId="77777777" w:rsidR="001C6A5B" w:rsidRPr="00AA7F25" w:rsidRDefault="001C6A5B" w:rsidP="001C6A5B">
      <w:pPr>
        <w:pStyle w:val="ListBullet"/>
        <w:numPr>
          <w:ilvl w:val="0"/>
          <w:numId w:val="31"/>
        </w:numPr>
        <w:rPr>
          <w:rFonts w:ascii="Calibri" w:hAnsi="Calibri" w:cs="Calibri"/>
          <w:lang w:val="en-GB"/>
        </w:rPr>
      </w:pPr>
      <w:r w:rsidRPr="00AA7F25">
        <w:rPr>
          <w:rFonts w:ascii="Calibri" w:hAnsi="Calibri" w:cs="Calibri"/>
          <w:lang w:val="en-GB"/>
        </w:rPr>
        <w:t>Quarterly Internal Dashboards – for SLT and Local Governing Boards/Trustees/Committees</w:t>
      </w:r>
    </w:p>
    <w:p w14:paraId="17447D6E" w14:textId="77777777" w:rsidR="001C6A5B" w:rsidRPr="00AA7F25" w:rsidRDefault="001C6A5B" w:rsidP="001C6A5B">
      <w:pPr>
        <w:pStyle w:val="ListBullet"/>
        <w:numPr>
          <w:ilvl w:val="0"/>
          <w:numId w:val="31"/>
        </w:numPr>
        <w:rPr>
          <w:rFonts w:ascii="Calibri" w:hAnsi="Calibri" w:cs="Calibri"/>
          <w:lang w:val="en-GB"/>
        </w:rPr>
      </w:pPr>
      <w:r w:rsidRPr="00AA7F25">
        <w:rPr>
          <w:rFonts w:ascii="Calibri" w:hAnsi="Calibri" w:cs="Calibri"/>
          <w:lang w:val="en-GB"/>
        </w:rPr>
        <w:t>Annual Trust-wide Procurement Benefits Report – aligned with ESG or Carbon Net Zero reporting where applicable</w:t>
      </w:r>
    </w:p>
    <w:p w14:paraId="398C9A89" w14:textId="77777777" w:rsidR="001C6A5B" w:rsidRPr="00AA7F25" w:rsidRDefault="001C6A5B" w:rsidP="001C6A5B">
      <w:pPr>
        <w:pStyle w:val="ListBullet"/>
        <w:numPr>
          <w:ilvl w:val="0"/>
          <w:numId w:val="31"/>
        </w:numPr>
        <w:rPr>
          <w:rFonts w:ascii="Calibri" w:hAnsi="Calibri" w:cs="Calibri"/>
          <w:lang w:val="en-GB"/>
        </w:rPr>
      </w:pPr>
      <w:r w:rsidRPr="00AA7F25">
        <w:rPr>
          <w:rFonts w:ascii="Calibri" w:hAnsi="Calibri" w:cs="Calibri"/>
          <w:lang w:val="en-GB"/>
        </w:rPr>
        <w:t>Strategic Highlights – to showcase success to the Board, Ofsted and external stakeholders</w:t>
      </w:r>
    </w:p>
    <w:p w14:paraId="62114EBD" w14:textId="77777777" w:rsidR="001C6A5B" w:rsidRPr="00AA7F25" w:rsidRDefault="001C6A5B" w:rsidP="001C6A5B">
      <w:pPr>
        <w:pStyle w:val="ListBullet"/>
        <w:numPr>
          <w:ilvl w:val="0"/>
          <w:numId w:val="31"/>
        </w:numPr>
        <w:rPr>
          <w:rFonts w:ascii="Calibri" w:hAnsi="Calibri" w:cs="Calibri"/>
          <w:lang w:val="en-GB"/>
        </w:rPr>
      </w:pPr>
      <w:r w:rsidRPr="00AA7F25">
        <w:rPr>
          <w:rFonts w:ascii="Calibri" w:hAnsi="Calibri" w:cs="Calibri"/>
          <w:lang w:val="en-GB"/>
        </w:rPr>
        <w:t>Use insights to inform future procurement strategies, supplier development plans and curriculum-linked opportunities</w:t>
      </w:r>
    </w:p>
    <w:p w14:paraId="4D0681C0" w14:textId="77777777" w:rsidR="001C6A5B" w:rsidRPr="00AA7F25" w:rsidRDefault="001C6A5B" w:rsidP="001C6A5B">
      <w:pPr>
        <w:pStyle w:val="ListNumber"/>
        <w:rPr>
          <w:rFonts w:ascii="Calibri" w:hAnsi="Calibri" w:cs="Calibri"/>
        </w:rPr>
      </w:pPr>
    </w:p>
    <w:p w14:paraId="0DAC7B78" w14:textId="77777777" w:rsidR="001C6A5B" w:rsidRPr="00AA7F25" w:rsidRDefault="001C6A5B" w:rsidP="001C6A5B">
      <w:pPr>
        <w:pStyle w:val="ListParagraph"/>
        <w:spacing w:after="240"/>
        <w:ind w:left="851"/>
        <w:rPr>
          <w:rFonts w:cs="Calibri"/>
        </w:rPr>
      </w:pPr>
    </w:p>
    <w:sectPr w:rsidR="001C6A5B" w:rsidRPr="00AA7F25" w:rsidSect="00BB468E">
      <w:headerReference w:type="default" r:id="rId11"/>
      <w:footerReference w:type="default" r:id="rId12"/>
      <w:headerReference w:type="first" r:id="rId13"/>
      <w:footerReference w:type="first" r:id="rId14"/>
      <w:pgSz w:w="11906" w:h="16838" w:code="9"/>
      <w:pgMar w:top="2268" w:right="709"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56B4" w14:textId="77777777" w:rsidR="002E7B09" w:rsidRDefault="002E7B09" w:rsidP="006527DA">
      <w:r>
        <w:separator/>
      </w:r>
    </w:p>
    <w:p w14:paraId="63360AA2" w14:textId="77777777" w:rsidR="002E7B09" w:rsidRDefault="002E7B09"/>
    <w:p w14:paraId="2B42E17D" w14:textId="77777777" w:rsidR="002E7B09" w:rsidRDefault="002E7B09"/>
  </w:endnote>
  <w:endnote w:type="continuationSeparator" w:id="0">
    <w:p w14:paraId="591717E8" w14:textId="77777777" w:rsidR="002E7B09" w:rsidRDefault="002E7B09" w:rsidP="006527DA">
      <w:r>
        <w:continuationSeparator/>
      </w:r>
    </w:p>
    <w:p w14:paraId="65FD1464" w14:textId="77777777" w:rsidR="002E7B09" w:rsidRDefault="002E7B09"/>
    <w:p w14:paraId="39043CDC" w14:textId="77777777" w:rsidR="002E7B09" w:rsidRDefault="002E7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32E0" w14:textId="77777777" w:rsidR="000D4F36" w:rsidRDefault="000D4F36" w:rsidP="006F6237">
    <w:pPr>
      <w:pStyle w:val="Footer"/>
      <w:rPr>
        <w:noProof/>
      </w:rPr>
    </w:pPr>
  </w:p>
  <w:p w14:paraId="0B337D97" w14:textId="3B5128DB" w:rsidR="00E20CB3" w:rsidRDefault="004B71C8" w:rsidP="006F6237">
    <w:pPr>
      <w:pStyle w:val="Footer"/>
    </w:pPr>
    <w:r>
      <w:rPr>
        <w:noProof/>
      </w:rPr>
      <w:tab/>
    </w:r>
    <w:r w:rsidR="00FD1D89">
      <w:rPr>
        <w:noProof/>
      </w:rPr>
      <w:fldChar w:fldCharType="begin"/>
    </w:r>
    <w:r w:rsidR="00FD1D89">
      <w:rPr>
        <w:noProof/>
      </w:rPr>
      <w:instrText xml:space="preserve"> PAGE   \* MERGEFORMAT </w:instrText>
    </w:r>
    <w:r w:rsidR="00FD1D89">
      <w:rPr>
        <w:noProof/>
      </w:rPr>
      <w:fldChar w:fldCharType="separate"/>
    </w:r>
    <w:r w:rsidR="00FD1D89">
      <w:rPr>
        <w:noProof/>
      </w:rPr>
      <w:t>1</w:t>
    </w:r>
    <w:r w:rsidR="00FD1D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A5A2" w14:textId="65BCE5FD" w:rsidR="00E20CB3" w:rsidRDefault="00FD1D89" w:rsidP="006F6237">
    <w:pPr>
      <w:pStyle w:val="Footer"/>
    </w:pPr>
    <w:r>
      <w:rPr>
        <w:noProof/>
      </w:rPr>
      <w:tab/>
    </w:r>
    <w:r w:rsidRPr="009C4298">
      <w:rPr>
        <w:rFonts w:cs="Calibri"/>
        <w:noProof/>
      </w:rPr>
      <w:fldChar w:fldCharType="begin"/>
    </w:r>
    <w:r w:rsidRPr="009C4298">
      <w:rPr>
        <w:rFonts w:cs="Calibri"/>
        <w:noProof/>
      </w:rPr>
      <w:instrText xml:space="preserve"> PAGE   \* MERGEFORMAT </w:instrText>
    </w:r>
    <w:r w:rsidRPr="009C4298">
      <w:rPr>
        <w:rFonts w:cs="Calibri"/>
        <w:noProof/>
      </w:rPr>
      <w:fldChar w:fldCharType="separate"/>
    </w:r>
    <w:r w:rsidRPr="009C4298">
      <w:rPr>
        <w:rFonts w:cs="Calibri"/>
        <w:noProof/>
      </w:rPr>
      <w:t>2</w:t>
    </w:r>
    <w:r w:rsidRPr="009C4298">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1BCF" w14:textId="77777777" w:rsidR="002E7B09" w:rsidRDefault="002E7B09" w:rsidP="00913499">
      <w:pPr>
        <w:pStyle w:val="FootnoteText"/>
      </w:pPr>
      <w:r>
        <w:continuationSeparator/>
      </w:r>
    </w:p>
  </w:footnote>
  <w:footnote w:type="continuationSeparator" w:id="0">
    <w:p w14:paraId="00E6B820" w14:textId="77777777" w:rsidR="002E7B09" w:rsidRDefault="002E7B09" w:rsidP="000401DA">
      <w:pPr>
        <w:pStyle w:val="FootnoteText"/>
      </w:pPr>
      <w:r>
        <w:continuationSeparator/>
      </w:r>
    </w:p>
  </w:footnote>
  <w:footnote w:type="continuationNotice" w:id="1">
    <w:p w14:paraId="595BD39D" w14:textId="77777777" w:rsidR="002E7B09" w:rsidRDefault="002E7B09" w:rsidP="00040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648A" w14:textId="77777777" w:rsidR="00E20CB3" w:rsidRDefault="00CB6380" w:rsidP="0016624C">
    <w:pPr>
      <w:pStyle w:val="Header"/>
    </w:pPr>
    <w:r>
      <w:rPr>
        <w:noProof/>
      </w:rPr>
      <w:drawing>
        <wp:anchor distT="0" distB="0" distL="114300" distR="114300" simplePos="0" relativeHeight="251663360" behindDoc="0" locked="1" layoutInCell="1" allowOverlap="1" wp14:anchorId="1CE68182" wp14:editId="5203184A">
          <wp:simplePos x="0" y="0"/>
          <wp:positionH relativeFrom="margin">
            <wp:align>right</wp:align>
          </wp:positionH>
          <wp:positionV relativeFrom="page">
            <wp:posOffset>450215</wp:posOffset>
          </wp:positionV>
          <wp:extent cx="1260000" cy="467600"/>
          <wp:effectExtent l="0" t="0" r="0" b="889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67600"/>
                  </a:xfrm>
                  <a:prstGeom prst="rect">
                    <a:avLst/>
                  </a:prstGeom>
                </pic:spPr>
              </pic:pic>
            </a:graphicData>
          </a:graphic>
          <wp14:sizeRelH relativeFrom="margin">
            <wp14:pctWidth>0</wp14:pctWidth>
          </wp14:sizeRelH>
          <wp14:sizeRelV relativeFrom="margin">
            <wp14:pctHeight>0</wp14:pctHeight>
          </wp14:sizeRelV>
        </wp:anchor>
      </w:drawing>
    </w:r>
  </w:p>
  <w:p w14:paraId="20A6E4BE" w14:textId="77777777" w:rsidR="00E20CB3" w:rsidRDefault="00E2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8228" w14:textId="77777777" w:rsidR="00E20CB3" w:rsidRDefault="002374B8" w:rsidP="006F6237">
    <w:pPr>
      <w:pStyle w:val="Header"/>
    </w:pPr>
    <w:r>
      <w:rPr>
        <w:noProof/>
      </w:rPr>
      <w:drawing>
        <wp:anchor distT="0" distB="504190" distL="114300" distR="114300" simplePos="0" relativeHeight="251659264" behindDoc="0" locked="1" layoutInCell="1" allowOverlap="1" wp14:anchorId="5BC7B456" wp14:editId="175E1ED6">
          <wp:simplePos x="0" y="0"/>
          <wp:positionH relativeFrom="column">
            <wp:align>right</wp:align>
          </wp:positionH>
          <wp:positionV relativeFrom="page">
            <wp:posOffset>450215</wp:posOffset>
          </wp:positionV>
          <wp:extent cx="1620000" cy="601200"/>
          <wp:effectExtent l="0" t="0" r="0" b="889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52AB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8E8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09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F8C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366B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6A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D081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CC95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8A68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DE60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2134"/>
    <w:multiLevelType w:val="hybridMultilevel"/>
    <w:tmpl w:val="DD2C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274F0"/>
    <w:multiLevelType w:val="hybridMultilevel"/>
    <w:tmpl w:val="4D1E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52A7"/>
    <w:multiLevelType w:val="hybridMultilevel"/>
    <w:tmpl w:val="9A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F2D49"/>
    <w:multiLevelType w:val="hybridMultilevel"/>
    <w:tmpl w:val="FAE83224"/>
    <w:lvl w:ilvl="0" w:tplc="D0DC0F7C">
      <w:start w:val="1"/>
      <w:numFmt w:val="bullet"/>
      <w:lvlText w:val=""/>
      <w:lvlJc w:val="left"/>
      <w:pPr>
        <w:ind w:left="255" w:hanging="255"/>
      </w:pPr>
      <w:rPr>
        <w:rFonts w:ascii="Symbol" w:hAnsi="Symbol" w:hint="default"/>
        <w:color w:val="E758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9423F"/>
    <w:multiLevelType w:val="hybridMultilevel"/>
    <w:tmpl w:val="64F68C08"/>
    <w:lvl w:ilvl="0" w:tplc="7F80DEF8">
      <w:start w:val="1"/>
      <w:numFmt w:val="bullet"/>
      <w:lvlText w:val="–"/>
      <w:lvlJc w:val="left"/>
      <w:pPr>
        <w:ind w:left="567" w:hanging="283"/>
      </w:pPr>
      <w:rPr>
        <w:rFonts w:asciiTheme="minorHAnsi" w:hAnsiTheme="minorHAnsi" w:cstheme="minorHAnsi" w:hint="default"/>
        <w:color w:val="57575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43F02"/>
    <w:multiLevelType w:val="hybridMultilevel"/>
    <w:tmpl w:val="D7DC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12C40"/>
    <w:multiLevelType w:val="hybridMultilevel"/>
    <w:tmpl w:val="BEF4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555A9"/>
    <w:multiLevelType w:val="hybridMultilevel"/>
    <w:tmpl w:val="86DACB86"/>
    <w:lvl w:ilvl="0" w:tplc="32B49FCA">
      <w:start w:val="1"/>
      <w:numFmt w:val="bullet"/>
      <w:lvlText w:val="–"/>
      <w:lvlJc w:val="left"/>
      <w:pPr>
        <w:ind w:left="567" w:hanging="283"/>
      </w:pPr>
      <w:rPr>
        <w:rFonts w:ascii="Arial" w:hAnsi="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DB7D5A"/>
    <w:multiLevelType w:val="hybridMultilevel"/>
    <w:tmpl w:val="6706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17791"/>
    <w:multiLevelType w:val="hybridMultilevel"/>
    <w:tmpl w:val="6A603F8A"/>
    <w:lvl w:ilvl="0" w:tplc="D2D0EDC8">
      <w:start w:val="1"/>
      <w:numFmt w:val="bullet"/>
      <w:pStyle w:val="Bulletedtextlevel1"/>
      <w:lvlText w:val="•"/>
      <w:lvlJc w:val="left"/>
      <w:pPr>
        <w:ind w:left="284" w:hanging="284"/>
      </w:pPr>
      <w:rPr>
        <w:rFonts w:ascii="Myriad Pro" w:hAnsi="Myriad Pro" w:hint="default"/>
        <w:b/>
        <w:i w:val="0"/>
        <w:color w:val="0043F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02128"/>
    <w:multiLevelType w:val="hybridMultilevel"/>
    <w:tmpl w:val="9D2A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F235B"/>
    <w:multiLevelType w:val="hybridMultilevel"/>
    <w:tmpl w:val="333A8DA2"/>
    <w:lvl w:ilvl="0" w:tplc="47004FD2">
      <w:numFmt w:val="bullet"/>
      <w:lvlText w:val="•"/>
      <w:lvlJc w:val="left"/>
      <w:pPr>
        <w:ind w:left="255" w:hanging="2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A51C2"/>
    <w:multiLevelType w:val="hybridMultilevel"/>
    <w:tmpl w:val="AB02FAB2"/>
    <w:lvl w:ilvl="0" w:tplc="7D824940">
      <w:start w:val="1"/>
      <w:numFmt w:val="bullet"/>
      <w:pStyle w:val="Bulletedtextlevel2"/>
      <w:lvlText w:val="–"/>
      <w:lvlJc w:val="left"/>
      <w:pPr>
        <w:ind w:left="1004" w:hanging="360"/>
      </w:pPr>
      <w:rPr>
        <w:rFonts w:ascii="Arial" w:hAnsi="Arial"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6F3687D"/>
    <w:multiLevelType w:val="hybridMultilevel"/>
    <w:tmpl w:val="5CACCEA2"/>
    <w:lvl w:ilvl="0" w:tplc="08B0B6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B326C"/>
    <w:multiLevelType w:val="hybridMultilevel"/>
    <w:tmpl w:val="1D325D58"/>
    <w:lvl w:ilvl="0" w:tplc="08090001">
      <w:start w:val="1"/>
      <w:numFmt w:val="bullet"/>
      <w:lvlText w:val=""/>
      <w:lvlJc w:val="left"/>
      <w:pPr>
        <w:ind w:left="255"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40CBB"/>
    <w:multiLevelType w:val="hybridMultilevel"/>
    <w:tmpl w:val="24E0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C1A17"/>
    <w:multiLevelType w:val="hybridMultilevel"/>
    <w:tmpl w:val="29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7076">
    <w:abstractNumId w:val="26"/>
  </w:num>
  <w:num w:numId="2" w16cid:durableId="421686257">
    <w:abstractNumId w:val="23"/>
  </w:num>
  <w:num w:numId="3" w16cid:durableId="1544126262">
    <w:abstractNumId w:val="21"/>
  </w:num>
  <w:num w:numId="4" w16cid:durableId="1128428515">
    <w:abstractNumId w:val="24"/>
  </w:num>
  <w:num w:numId="5" w16cid:durableId="1027290681">
    <w:abstractNumId w:val="13"/>
  </w:num>
  <w:num w:numId="6" w16cid:durableId="1304965241">
    <w:abstractNumId w:val="19"/>
  </w:num>
  <w:num w:numId="7" w16cid:durableId="335114243">
    <w:abstractNumId w:val="19"/>
    <w:lvlOverride w:ilvl="0">
      <w:startOverride w:val="1"/>
    </w:lvlOverride>
  </w:num>
  <w:num w:numId="8" w16cid:durableId="716702449">
    <w:abstractNumId w:val="19"/>
    <w:lvlOverride w:ilvl="0">
      <w:startOverride w:val="1"/>
    </w:lvlOverride>
  </w:num>
  <w:num w:numId="9" w16cid:durableId="550531233">
    <w:abstractNumId w:val="8"/>
  </w:num>
  <w:num w:numId="10" w16cid:durableId="1521965294">
    <w:abstractNumId w:val="9"/>
  </w:num>
  <w:num w:numId="11" w16cid:durableId="1545867580">
    <w:abstractNumId w:val="7"/>
  </w:num>
  <w:num w:numId="12" w16cid:durableId="1795901729">
    <w:abstractNumId w:val="6"/>
  </w:num>
  <w:num w:numId="13" w16cid:durableId="806513520">
    <w:abstractNumId w:val="5"/>
  </w:num>
  <w:num w:numId="14" w16cid:durableId="1490094997">
    <w:abstractNumId w:val="4"/>
  </w:num>
  <w:num w:numId="15" w16cid:durableId="1465391836">
    <w:abstractNumId w:val="3"/>
  </w:num>
  <w:num w:numId="16" w16cid:durableId="1854998499">
    <w:abstractNumId w:val="2"/>
  </w:num>
  <w:num w:numId="17" w16cid:durableId="1772507376">
    <w:abstractNumId w:val="1"/>
  </w:num>
  <w:num w:numId="18" w16cid:durableId="839587237">
    <w:abstractNumId w:val="0"/>
  </w:num>
  <w:num w:numId="19" w16cid:durableId="1121727962">
    <w:abstractNumId w:val="19"/>
    <w:lvlOverride w:ilvl="0">
      <w:startOverride w:val="1"/>
    </w:lvlOverride>
  </w:num>
  <w:num w:numId="20" w16cid:durableId="803044362">
    <w:abstractNumId w:val="19"/>
    <w:lvlOverride w:ilvl="0">
      <w:startOverride w:val="1"/>
    </w:lvlOverride>
  </w:num>
  <w:num w:numId="21" w16cid:durableId="936447782">
    <w:abstractNumId w:val="19"/>
    <w:lvlOverride w:ilvl="0">
      <w:startOverride w:val="1"/>
    </w:lvlOverride>
  </w:num>
  <w:num w:numId="22" w16cid:durableId="1299997275">
    <w:abstractNumId w:val="14"/>
  </w:num>
  <w:num w:numId="23" w16cid:durableId="1012337210">
    <w:abstractNumId w:val="17"/>
  </w:num>
  <w:num w:numId="24" w16cid:durableId="2002536477">
    <w:abstractNumId w:val="22"/>
  </w:num>
  <w:num w:numId="25" w16cid:durableId="271012733">
    <w:abstractNumId w:val="12"/>
  </w:num>
  <w:num w:numId="26" w16cid:durableId="1979454991">
    <w:abstractNumId w:val="25"/>
  </w:num>
  <w:num w:numId="27" w16cid:durableId="751245601">
    <w:abstractNumId w:val="20"/>
  </w:num>
  <w:num w:numId="28" w16cid:durableId="993338394">
    <w:abstractNumId w:val="11"/>
  </w:num>
  <w:num w:numId="29" w16cid:durableId="1616207989">
    <w:abstractNumId w:val="16"/>
  </w:num>
  <w:num w:numId="30" w16cid:durableId="540094424">
    <w:abstractNumId w:val="15"/>
  </w:num>
  <w:num w:numId="31" w16cid:durableId="1541044608">
    <w:abstractNumId w:val="10"/>
  </w:num>
  <w:num w:numId="32" w16cid:durableId="18811668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67"/>
    <w:rsid w:val="000151A5"/>
    <w:rsid w:val="00036BA8"/>
    <w:rsid w:val="000401DA"/>
    <w:rsid w:val="000448A1"/>
    <w:rsid w:val="00057932"/>
    <w:rsid w:val="000755D1"/>
    <w:rsid w:val="00085DC5"/>
    <w:rsid w:val="00085FC8"/>
    <w:rsid w:val="00086CAD"/>
    <w:rsid w:val="000C7881"/>
    <w:rsid w:val="000D1927"/>
    <w:rsid w:val="000D4F36"/>
    <w:rsid w:val="000E4A17"/>
    <w:rsid w:val="001032E4"/>
    <w:rsid w:val="00113CDA"/>
    <w:rsid w:val="00113D45"/>
    <w:rsid w:val="001152DF"/>
    <w:rsid w:val="00121241"/>
    <w:rsid w:val="0014113D"/>
    <w:rsid w:val="001509EA"/>
    <w:rsid w:val="0016624C"/>
    <w:rsid w:val="001941CD"/>
    <w:rsid w:val="001A41B8"/>
    <w:rsid w:val="001C6A5B"/>
    <w:rsid w:val="001E10AF"/>
    <w:rsid w:val="001F62C4"/>
    <w:rsid w:val="00227960"/>
    <w:rsid w:val="002374B8"/>
    <w:rsid w:val="00263A43"/>
    <w:rsid w:val="002660FD"/>
    <w:rsid w:val="002742FE"/>
    <w:rsid w:val="00283CE5"/>
    <w:rsid w:val="00285602"/>
    <w:rsid w:val="0029371A"/>
    <w:rsid w:val="002B638A"/>
    <w:rsid w:val="002B7BE0"/>
    <w:rsid w:val="002C1855"/>
    <w:rsid w:val="002E52A4"/>
    <w:rsid w:val="002E7B09"/>
    <w:rsid w:val="00323034"/>
    <w:rsid w:val="00346185"/>
    <w:rsid w:val="00352241"/>
    <w:rsid w:val="00355DF7"/>
    <w:rsid w:val="00373176"/>
    <w:rsid w:val="00384DB3"/>
    <w:rsid w:val="00390ACC"/>
    <w:rsid w:val="003A5265"/>
    <w:rsid w:val="003A6E0B"/>
    <w:rsid w:val="003C6710"/>
    <w:rsid w:val="003C78D2"/>
    <w:rsid w:val="003D748A"/>
    <w:rsid w:val="003E0B90"/>
    <w:rsid w:val="003E570E"/>
    <w:rsid w:val="00415408"/>
    <w:rsid w:val="00422D03"/>
    <w:rsid w:val="00434804"/>
    <w:rsid w:val="00441D5E"/>
    <w:rsid w:val="004578C2"/>
    <w:rsid w:val="004660B6"/>
    <w:rsid w:val="0047567D"/>
    <w:rsid w:val="00477C56"/>
    <w:rsid w:val="00490677"/>
    <w:rsid w:val="004A4190"/>
    <w:rsid w:val="004A6010"/>
    <w:rsid w:val="004B0E2F"/>
    <w:rsid w:val="004B71C8"/>
    <w:rsid w:val="004D295B"/>
    <w:rsid w:val="00514368"/>
    <w:rsid w:val="00525A63"/>
    <w:rsid w:val="005363F4"/>
    <w:rsid w:val="005378CB"/>
    <w:rsid w:val="00543CB6"/>
    <w:rsid w:val="00545BDE"/>
    <w:rsid w:val="0055579D"/>
    <w:rsid w:val="00577724"/>
    <w:rsid w:val="00586C3C"/>
    <w:rsid w:val="005B384C"/>
    <w:rsid w:val="005B43EE"/>
    <w:rsid w:val="0061501A"/>
    <w:rsid w:val="00645C7F"/>
    <w:rsid w:val="006527DA"/>
    <w:rsid w:val="0065361C"/>
    <w:rsid w:val="00674864"/>
    <w:rsid w:val="00674B62"/>
    <w:rsid w:val="00676EAE"/>
    <w:rsid w:val="00682C9D"/>
    <w:rsid w:val="00683BEC"/>
    <w:rsid w:val="006900E3"/>
    <w:rsid w:val="006A4FE8"/>
    <w:rsid w:val="006A733E"/>
    <w:rsid w:val="006F17B0"/>
    <w:rsid w:val="006F6237"/>
    <w:rsid w:val="00715EF6"/>
    <w:rsid w:val="00732F52"/>
    <w:rsid w:val="0073414E"/>
    <w:rsid w:val="00735604"/>
    <w:rsid w:val="0073692D"/>
    <w:rsid w:val="00750166"/>
    <w:rsid w:val="007669A0"/>
    <w:rsid w:val="00780A88"/>
    <w:rsid w:val="00781F15"/>
    <w:rsid w:val="00782789"/>
    <w:rsid w:val="0078642E"/>
    <w:rsid w:val="00794A46"/>
    <w:rsid w:val="0079637E"/>
    <w:rsid w:val="007A138B"/>
    <w:rsid w:val="007B1286"/>
    <w:rsid w:val="007B2632"/>
    <w:rsid w:val="007C5134"/>
    <w:rsid w:val="007C56A1"/>
    <w:rsid w:val="007D000D"/>
    <w:rsid w:val="007E79B7"/>
    <w:rsid w:val="0081308A"/>
    <w:rsid w:val="008365A5"/>
    <w:rsid w:val="008558F6"/>
    <w:rsid w:val="00884A67"/>
    <w:rsid w:val="008854D7"/>
    <w:rsid w:val="008929F6"/>
    <w:rsid w:val="008B6FC1"/>
    <w:rsid w:val="008B7AE2"/>
    <w:rsid w:val="008C03B8"/>
    <w:rsid w:val="008C22AD"/>
    <w:rsid w:val="008C516F"/>
    <w:rsid w:val="008D33F5"/>
    <w:rsid w:val="008F5AD0"/>
    <w:rsid w:val="009073E4"/>
    <w:rsid w:val="00913499"/>
    <w:rsid w:val="00932B73"/>
    <w:rsid w:val="00935D7D"/>
    <w:rsid w:val="00944779"/>
    <w:rsid w:val="00953D9D"/>
    <w:rsid w:val="00960714"/>
    <w:rsid w:val="009911EB"/>
    <w:rsid w:val="00994222"/>
    <w:rsid w:val="009B3E65"/>
    <w:rsid w:val="009B510D"/>
    <w:rsid w:val="009B7355"/>
    <w:rsid w:val="009C2FAB"/>
    <w:rsid w:val="009C4298"/>
    <w:rsid w:val="009F7707"/>
    <w:rsid w:val="009F79F0"/>
    <w:rsid w:val="00A17D7B"/>
    <w:rsid w:val="00A27995"/>
    <w:rsid w:val="00A348FB"/>
    <w:rsid w:val="00A37C9C"/>
    <w:rsid w:val="00A41531"/>
    <w:rsid w:val="00A526DC"/>
    <w:rsid w:val="00A65E03"/>
    <w:rsid w:val="00AB3749"/>
    <w:rsid w:val="00AD214F"/>
    <w:rsid w:val="00AE75C9"/>
    <w:rsid w:val="00AF240C"/>
    <w:rsid w:val="00B0096F"/>
    <w:rsid w:val="00B11A06"/>
    <w:rsid w:val="00B229BE"/>
    <w:rsid w:val="00B32132"/>
    <w:rsid w:val="00B47E1A"/>
    <w:rsid w:val="00B60A9F"/>
    <w:rsid w:val="00B6671B"/>
    <w:rsid w:val="00B86F53"/>
    <w:rsid w:val="00BA5FE6"/>
    <w:rsid w:val="00BB2A63"/>
    <w:rsid w:val="00BB468E"/>
    <w:rsid w:val="00BE521D"/>
    <w:rsid w:val="00BF087D"/>
    <w:rsid w:val="00BF6FDC"/>
    <w:rsid w:val="00C00974"/>
    <w:rsid w:val="00C07F62"/>
    <w:rsid w:val="00C24F42"/>
    <w:rsid w:val="00C45A06"/>
    <w:rsid w:val="00C578F6"/>
    <w:rsid w:val="00C63886"/>
    <w:rsid w:val="00C72F97"/>
    <w:rsid w:val="00C75B10"/>
    <w:rsid w:val="00CB6380"/>
    <w:rsid w:val="00CC2DFF"/>
    <w:rsid w:val="00CD25E7"/>
    <w:rsid w:val="00CF054D"/>
    <w:rsid w:val="00CF0976"/>
    <w:rsid w:val="00CF3C97"/>
    <w:rsid w:val="00D0333F"/>
    <w:rsid w:val="00D157CA"/>
    <w:rsid w:val="00D23F94"/>
    <w:rsid w:val="00D32D73"/>
    <w:rsid w:val="00D43B6F"/>
    <w:rsid w:val="00D71595"/>
    <w:rsid w:val="00D74C4D"/>
    <w:rsid w:val="00D771B7"/>
    <w:rsid w:val="00D84B16"/>
    <w:rsid w:val="00D97ED2"/>
    <w:rsid w:val="00DC4BFB"/>
    <w:rsid w:val="00DF3A07"/>
    <w:rsid w:val="00DF482C"/>
    <w:rsid w:val="00E060C0"/>
    <w:rsid w:val="00E20CB3"/>
    <w:rsid w:val="00E22256"/>
    <w:rsid w:val="00E338F3"/>
    <w:rsid w:val="00E56AC4"/>
    <w:rsid w:val="00E61D35"/>
    <w:rsid w:val="00E715C3"/>
    <w:rsid w:val="00E818E6"/>
    <w:rsid w:val="00E83352"/>
    <w:rsid w:val="00E96FDA"/>
    <w:rsid w:val="00EA4D50"/>
    <w:rsid w:val="00EB0773"/>
    <w:rsid w:val="00EC1789"/>
    <w:rsid w:val="00EF6D98"/>
    <w:rsid w:val="00F04E55"/>
    <w:rsid w:val="00F166C7"/>
    <w:rsid w:val="00F539CB"/>
    <w:rsid w:val="00F60D0A"/>
    <w:rsid w:val="00FB3579"/>
    <w:rsid w:val="00FB430D"/>
    <w:rsid w:val="00FB5D04"/>
    <w:rsid w:val="00FB73EE"/>
    <w:rsid w:val="00FC5CCB"/>
    <w:rsid w:val="00FD1D89"/>
    <w:rsid w:val="00FD634E"/>
    <w:rsid w:val="00FE3704"/>
    <w:rsid w:val="00FE3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92D17"/>
  <w15:docId w15:val="{A731EDBB-14FF-41B3-9523-95408B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7"/>
        <w:szCs w:val="17"/>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D43B6F"/>
    <w:pPr>
      <w:tabs>
        <w:tab w:val="left" w:pos="284"/>
      </w:tabs>
      <w:spacing w:after="280" w:line="264" w:lineRule="auto"/>
    </w:pPr>
    <w:rPr>
      <w:rFonts w:ascii="Calibri" w:hAnsi="Calibri"/>
      <w:color w:val="575757" w:themeColor="text2"/>
      <w:sz w:val="22"/>
    </w:rPr>
  </w:style>
  <w:style w:type="paragraph" w:styleId="Heading1">
    <w:name w:val="heading 1"/>
    <w:basedOn w:val="Normal"/>
    <w:next w:val="Normal"/>
    <w:link w:val="Heading1Char"/>
    <w:uiPriority w:val="6"/>
    <w:qFormat/>
    <w:rsid w:val="00434804"/>
    <w:pPr>
      <w:keepNext/>
      <w:keepLines/>
      <w:spacing w:after="720" w:line="240" w:lineRule="auto"/>
      <w:outlineLvl w:val="0"/>
    </w:pPr>
    <w:rPr>
      <w:rFonts w:asciiTheme="majorHAnsi" w:eastAsiaTheme="majorEastAsia" w:hAnsiTheme="majorHAnsi" w:cstheme="majorBidi"/>
      <w:b/>
      <w:bCs/>
      <w:color w:val="0043FD" w:themeColor="accent1"/>
      <w:spacing w:val="-3"/>
      <w:sz w:val="40"/>
      <w:szCs w:val="28"/>
    </w:rPr>
  </w:style>
  <w:style w:type="paragraph" w:styleId="Heading2">
    <w:name w:val="heading 2"/>
    <w:basedOn w:val="Normal"/>
    <w:next w:val="Normal"/>
    <w:link w:val="Heading2Char"/>
    <w:uiPriority w:val="6"/>
    <w:unhideWhenUsed/>
    <w:qFormat/>
    <w:rsid w:val="00D32D73"/>
    <w:pPr>
      <w:keepNext/>
      <w:keepLines/>
      <w:spacing w:before="560" w:after="140"/>
      <w:outlineLvl w:val="1"/>
    </w:pPr>
    <w:rPr>
      <w:rFonts w:asciiTheme="majorHAnsi" w:eastAsiaTheme="majorEastAsia" w:hAnsiTheme="majorHAnsi" w:cstheme="majorBidi"/>
      <w:b/>
      <w:bCs/>
      <w:color w:val="140069" w:themeColor="accent2"/>
      <w:spacing w:val="-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4804"/>
    <w:pPr>
      <w:tabs>
        <w:tab w:val="clear" w:pos="284"/>
      </w:tabs>
      <w:spacing w:after="0"/>
    </w:pPr>
  </w:style>
  <w:style w:type="character" w:customStyle="1" w:styleId="HeaderChar">
    <w:name w:val="Header Char"/>
    <w:basedOn w:val="DefaultParagraphFont"/>
    <w:link w:val="Header"/>
    <w:uiPriority w:val="99"/>
    <w:rsid w:val="00434804"/>
    <w:rPr>
      <w:color w:val="575757" w:themeColor="text2"/>
      <w:sz w:val="22"/>
    </w:rPr>
  </w:style>
  <w:style w:type="paragraph" w:styleId="Footer">
    <w:name w:val="footer"/>
    <w:basedOn w:val="Normal"/>
    <w:link w:val="FooterChar"/>
    <w:uiPriority w:val="99"/>
    <w:rsid w:val="00BB468E"/>
    <w:pPr>
      <w:pBdr>
        <w:top w:val="single" w:sz="2" w:space="4" w:color="0043FD" w:themeColor="accent1"/>
      </w:pBdr>
      <w:tabs>
        <w:tab w:val="clear" w:pos="284"/>
        <w:tab w:val="right" w:pos="9781"/>
      </w:tabs>
      <w:spacing w:after="0" w:line="240" w:lineRule="auto"/>
    </w:pPr>
  </w:style>
  <w:style w:type="character" w:customStyle="1" w:styleId="FooterChar">
    <w:name w:val="Footer Char"/>
    <w:basedOn w:val="DefaultParagraphFont"/>
    <w:link w:val="Footer"/>
    <w:uiPriority w:val="99"/>
    <w:rsid w:val="00BB468E"/>
    <w:rPr>
      <w:color w:val="575757" w:themeColor="text2"/>
      <w:sz w:val="22"/>
    </w:rPr>
  </w:style>
  <w:style w:type="paragraph" w:styleId="BalloonText">
    <w:name w:val="Balloon Text"/>
    <w:basedOn w:val="Normal"/>
    <w:link w:val="BalloonTextChar"/>
    <w:semiHidden/>
    <w:unhideWhenUsed/>
    <w:rsid w:val="006527DA"/>
    <w:rPr>
      <w:rFonts w:ascii="Tahoma" w:hAnsi="Tahoma" w:cs="Tahoma"/>
      <w:sz w:val="16"/>
      <w:szCs w:val="16"/>
    </w:rPr>
  </w:style>
  <w:style w:type="character" w:customStyle="1" w:styleId="BalloonTextChar">
    <w:name w:val="Balloon Text Char"/>
    <w:basedOn w:val="DefaultParagraphFont"/>
    <w:link w:val="BalloonText"/>
    <w:semiHidden/>
    <w:rsid w:val="007B2632"/>
    <w:rPr>
      <w:rFonts w:ascii="Tahoma" w:hAnsi="Tahoma" w:cs="Tahoma"/>
      <w:color w:val="575757" w:themeColor="text2"/>
      <w:sz w:val="16"/>
      <w:szCs w:val="16"/>
    </w:rPr>
  </w:style>
  <w:style w:type="character" w:customStyle="1" w:styleId="Heading1Char">
    <w:name w:val="Heading 1 Char"/>
    <w:basedOn w:val="DefaultParagraphFont"/>
    <w:link w:val="Heading1"/>
    <w:uiPriority w:val="6"/>
    <w:rsid w:val="00434804"/>
    <w:rPr>
      <w:rFonts w:asciiTheme="majorHAnsi" w:eastAsiaTheme="majorEastAsia" w:hAnsiTheme="majorHAnsi" w:cstheme="majorBidi"/>
      <w:b/>
      <w:bCs/>
      <w:color w:val="0043FD" w:themeColor="accent1"/>
      <w:spacing w:val="-3"/>
      <w:sz w:val="40"/>
      <w:szCs w:val="28"/>
    </w:rPr>
  </w:style>
  <w:style w:type="character" w:customStyle="1" w:styleId="Heading2Char">
    <w:name w:val="Heading 2 Char"/>
    <w:basedOn w:val="DefaultParagraphFont"/>
    <w:link w:val="Heading2"/>
    <w:uiPriority w:val="6"/>
    <w:rsid w:val="00D32D73"/>
    <w:rPr>
      <w:rFonts w:asciiTheme="majorHAnsi" w:eastAsiaTheme="majorEastAsia" w:hAnsiTheme="majorHAnsi" w:cstheme="majorBidi"/>
      <w:b/>
      <w:bCs/>
      <w:color w:val="140069" w:themeColor="accent2"/>
      <w:spacing w:val="-2"/>
      <w:sz w:val="22"/>
      <w:szCs w:val="2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edtextlevel1">
    <w:name w:val="Bulleted text level 1"/>
    <w:basedOn w:val="ListParagraph"/>
    <w:uiPriority w:val="4"/>
    <w:qFormat/>
    <w:rsid w:val="009F7707"/>
    <w:pPr>
      <w:numPr>
        <w:numId w:val="21"/>
      </w:numPr>
      <w:tabs>
        <w:tab w:val="clear" w:pos="284"/>
      </w:tabs>
      <w:spacing w:afterLines="0" w:after="140"/>
      <w:contextualSpacing w:val="0"/>
      <w:outlineLvl w:val="0"/>
    </w:pPr>
  </w:style>
  <w:style w:type="table" w:styleId="TableGrid">
    <w:name w:val="Table Grid"/>
    <w:aliases w:val="Default Table Grid"/>
    <w:basedOn w:val="TableNormal"/>
    <w:uiPriority w:val="59"/>
    <w:rsid w:val="00C07F62"/>
    <w:tblPr>
      <w:tblStyleRowBandSize w:val="1"/>
      <w:tblBorders>
        <w:bottom w:val="single" w:sz="2" w:space="0" w:color="575757" w:themeColor="text2"/>
        <w:insideV w:val="single" w:sz="2" w:space="0" w:color="575757" w:themeColor="text2"/>
      </w:tblBorders>
      <w:tblCellMar>
        <w:top w:w="142" w:type="dxa"/>
        <w:left w:w="85" w:type="dxa"/>
        <w:bottom w:w="170" w:type="dxa"/>
        <w:right w:w="85" w:type="dxa"/>
      </w:tblCellMar>
    </w:tblPr>
    <w:tblStylePr w:type="firstRow">
      <w:tblPr/>
      <w:tcPr>
        <w:tcBorders>
          <w:top w:val="nil"/>
          <w:left w:val="nil"/>
          <w:bottom w:val="nil"/>
          <w:right w:val="nil"/>
          <w:insideH w:val="nil"/>
          <w:insideV w:val="single" w:sz="2" w:space="0" w:color="FFFFFF" w:themeColor="background1"/>
          <w:tl2br w:val="nil"/>
          <w:tr2bl w:val="nil"/>
        </w:tcBorders>
        <w:shd w:val="clear" w:color="auto" w:fill="140069" w:themeFill="accent2"/>
      </w:tcPr>
    </w:tblStylePr>
    <w:tblStylePr w:type="band2Horz">
      <w:tblPr/>
      <w:tcPr>
        <w:tcBorders>
          <w:top w:val="nil"/>
          <w:left w:val="nil"/>
          <w:bottom w:val="nil"/>
          <w:right w:val="nil"/>
          <w:insideH w:val="nil"/>
          <w:insideV w:val="single" w:sz="2" w:space="0" w:color="575757" w:themeColor="text2"/>
          <w:tl2br w:val="nil"/>
          <w:tr2bl w:val="nil"/>
        </w:tcBorders>
        <w:shd w:val="clear" w:color="auto" w:fill="DDDDDD" w:themeFill="text2" w:themeFillTint="33"/>
      </w:tcPr>
    </w:tblStylePr>
  </w:style>
  <w:style w:type="paragraph" w:customStyle="1" w:styleId="Tableheading">
    <w:name w:val="Table heading"/>
    <w:basedOn w:val="Normal"/>
    <w:uiPriority w:val="7"/>
    <w:qFormat/>
    <w:rsid w:val="00D43B6F"/>
    <w:pPr>
      <w:spacing w:before="560"/>
    </w:pPr>
    <w:rPr>
      <w:b/>
      <w:spacing w:val="-2"/>
    </w:rPr>
  </w:style>
  <w:style w:type="paragraph" w:customStyle="1" w:styleId="Tabletext">
    <w:name w:val="Table text"/>
    <w:basedOn w:val="Normal"/>
    <w:uiPriority w:val="9"/>
    <w:qFormat/>
    <w:rsid w:val="00D43B6F"/>
    <w:pPr>
      <w:spacing w:after="0" w:line="252" w:lineRule="auto"/>
    </w:pPr>
  </w:style>
  <w:style w:type="paragraph" w:customStyle="1" w:styleId="Tablehead">
    <w:name w:val="Table head"/>
    <w:basedOn w:val="Tabletext"/>
    <w:uiPriority w:val="9"/>
    <w:qFormat/>
    <w:rsid w:val="00D43B6F"/>
    <w:rPr>
      <w:b/>
      <w:color w:val="FFFFFF" w:themeColor="background1"/>
      <w:spacing w:val="-3"/>
      <w:sz w:val="20"/>
    </w:rPr>
  </w:style>
  <w:style w:type="character" w:customStyle="1" w:styleId="CompanyRecipientName">
    <w:name w:val="Company/Recipient Name"/>
    <w:basedOn w:val="DefaultParagraphFont"/>
    <w:semiHidden/>
    <w:rsid w:val="00B60A9F"/>
    <w:rPr>
      <w:rFonts w:asciiTheme="minorHAnsi" w:hAnsiTheme="minorHAnsi"/>
      <w:b/>
      <w:caps w:val="0"/>
      <w:smallCaps w:val="0"/>
      <w:strike w:val="0"/>
      <w:dstrike w:val="0"/>
      <w:vanish w:val="0"/>
      <w:color w:val="575757" w:themeColor="text2"/>
      <w:sz w:val="20"/>
      <w:vertAlign w:val="baseline"/>
    </w:rPr>
  </w:style>
  <w:style w:type="paragraph" w:customStyle="1" w:styleId="Bulletedtextlevel2">
    <w:name w:val="Bulleted text level 2"/>
    <w:basedOn w:val="Normal"/>
    <w:uiPriority w:val="5"/>
    <w:qFormat/>
    <w:rsid w:val="003D748A"/>
    <w:pPr>
      <w:numPr>
        <w:numId w:val="24"/>
      </w:numPr>
      <w:tabs>
        <w:tab w:val="clear" w:pos="284"/>
      </w:tabs>
      <w:spacing w:after="140"/>
      <w:outlineLvl w:val="1"/>
    </w:pPr>
  </w:style>
  <w:style w:type="paragraph" w:styleId="FootnoteText">
    <w:name w:val="footnote text"/>
    <w:basedOn w:val="Normal"/>
    <w:link w:val="FootnoteTextChar"/>
    <w:uiPriority w:val="8"/>
    <w:rsid w:val="000401DA"/>
    <w:pPr>
      <w:spacing w:before="70" w:after="0"/>
    </w:pPr>
    <w:rPr>
      <w:sz w:val="16"/>
      <w:szCs w:val="20"/>
    </w:rPr>
  </w:style>
  <w:style w:type="character" w:customStyle="1" w:styleId="FootnoteTextChar">
    <w:name w:val="Footnote Text Char"/>
    <w:basedOn w:val="DefaultParagraphFont"/>
    <w:link w:val="FootnoteText"/>
    <w:uiPriority w:val="8"/>
    <w:rsid w:val="000401DA"/>
    <w:rPr>
      <w:color w:val="575757" w:themeColor="text2"/>
      <w:sz w:val="16"/>
      <w:szCs w:val="20"/>
    </w:rPr>
  </w:style>
  <w:style w:type="character" w:styleId="FootnoteReference">
    <w:name w:val="footnote reference"/>
    <w:basedOn w:val="DefaultParagraphFont"/>
    <w:uiPriority w:val="8"/>
    <w:rsid w:val="0081308A"/>
    <w:rPr>
      <w:vertAlign w:val="superscript"/>
    </w:rPr>
  </w:style>
  <w:style w:type="paragraph" w:customStyle="1" w:styleId="Tablecaption">
    <w:name w:val="Table caption"/>
    <w:basedOn w:val="Normal"/>
    <w:uiPriority w:val="10"/>
    <w:qFormat/>
    <w:rsid w:val="006F6237"/>
    <w:pPr>
      <w:spacing w:before="280"/>
    </w:pPr>
  </w:style>
  <w:style w:type="paragraph" w:customStyle="1" w:styleId="Tabletextfirstcolumnbold">
    <w:name w:val="Table text first column (bold)"/>
    <w:basedOn w:val="Tabletext"/>
    <w:uiPriority w:val="9"/>
    <w:qFormat/>
    <w:rsid w:val="00CC2DFF"/>
    <w:rPr>
      <w:b/>
      <w:color w:val="140069" w:themeColor="accent2"/>
      <w:spacing w:val="-2"/>
      <w:sz w:val="20"/>
    </w:rPr>
  </w:style>
  <w:style w:type="paragraph" w:styleId="ListBullet">
    <w:name w:val="List Bullet"/>
    <w:basedOn w:val="Normal"/>
    <w:uiPriority w:val="99"/>
    <w:unhideWhenUsed/>
    <w:rsid w:val="001C6A5B"/>
    <w:pPr>
      <w:tabs>
        <w:tab w:val="clear" w:pos="284"/>
      </w:tabs>
      <w:spacing w:after="200" w:line="276" w:lineRule="auto"/>
      <w:contextualSpacing/>
    </w:pPr>
    <w:rPr>
      <w:rFonts w:asciiTheme="minorHAnsi" w:eastAsiaTheme="minorEastAsia" w:hAnsiTheme="minorHAnsi" w:cstheme="minorBidi"/>
      <w:color w:val="auto"/>
      <w:szCs w:val="22"/>
      <w:lang w:val="en-US" w:eastAsia="en-US"/>
    </w:rPr>
  </w:style>
  <w:style w:type="paragraph" w:styleId="ListNumber">
    <w:name w:val="List Number"/>
    <w:basedOn w:val="Normal"/>
    <w:uiPriority w:val="99"/>
    <w:unhideWhenUsed/>
    <w:rsid w:val="001C6A5B"/>
    <w:pPr>
      <w:tabs>
        <w:tab w:val="clear" w:pos="284"/>
      </w:tabs>
      <w:spacing w:after="200" w:line="276" w:lineRule="auto"/>
      <w:contextualSpacing/>
    </w:pPr>
    <w:rPr>
      <w:rFonts w:asciiTheme="minorHAnsi" w:eastAsiaTheme="minorEastAsia" w:hAnsi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Wade.EASTON\OneDrive%20-%20cips.org\Procurement%20Benefits%20Tracker_140526.dotx" TargetMode="External"/></Relationships>
</file>

<file path=word/theme/theme1.xml><?xml version="1.0" encoding="utf-8"?>
<a:theme xmlns:a="http://schemas.openxmlformats.org/drawingml/2006/main" name="Office Theme">
  <a:themeElements>
    <a:clrScheme name="Studio Texture - CIPS">
      <a:dk1>
        <a:sysClr val="windowText" lastClr="000000"/>
      </a:dk1>
      <a:lt1>
        <a:sysClr val="window" lastClr="FFFFFF"/>
      </a:lt1>
      <a:dk2>
        <a:srgbClr val="575757"/>
      </a:dk2>
      <a:lt2>
        <a:srgbClr val="E75800"/>
      </a:lt2>
      <a:accent1>
        <a:srgbClr val="0043FD"/>
      </a:accent1>
      <a:accent2>
        <a:srgbClr val="140069"/>
      </a:accent2>
      <a:accent3>
        <a:srgbClr val="000000"/>
      </a:accent3>
      <a:accent4>
        <a:srgbClr val="00CCFF"/>
      </a:accent4>
      <a:accent5>
        <a:srgbClr val="962399"/>
      </a:accent5>
      <a:accent6>
        <a:srgbClr val="9278D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2979da39f7dcdd82fc51cb5a1e5a64e2">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859662b41d1aefca3f113c55b4049078"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B9ACE-10A9-4836-89C3-029EF7B2EC49}">
  <ds:schemaRefs>
    <ds:schemaRef ds:uri="http://schemas.microsoft.com/office/2006/metadata/properties"/>
    <ds:schemaRef ds:uri="http://schemas.microsoft.com/office/infopath/2007/PartnerControls"/>
    <ds:schemaRef ds:uri="35246a09-4227-407a-804d-4421ae2d796d"/>
    <ds:schemaRef ds:uri="e24fd6cc-d742-4417-9d68-b5b8c2af8206"/>
  </ds:schemaRefs>
</ds:datastoreItem>
</file>

<file path=customXml/itemProps2.xml><?xml version="1.0" encoding="utf-8"?>
<ds:datastoreItem xmlns:ds="http://schemas.openxmlformats.org/officeDocument/2006/customXml" ds:itemID="{28CCF398-4BB9-4BFC-BA03-C87DBA6636E8}">
  <ds:schemaRefs>
    <ds:schemaRef ds:uri="http://schemas.openxmlformats.org/officeDocument/2006/bibliography"/>
  </ds:schemaRefs>
</ds:datastoreItem>
</file>

<file path=customXml/itemProps3.xml><?xml version="1.0" encoding="utf-8"?>
<ds:datastoreItem xmlns:ds="http://schemas.openxmlformats.org/officeDocument/2006/customXml" ds:itemID="{022E267E-B4D4-4AEC-AB5A-7FC87C64D66A}">
  <ds:schemaRefs>
    <ds:schemaRef ds:uri="http://schemas.microsoft.com/sharepoint/v3/contenttype/forms"/>
  </ds:schemaRefs>
</ds:datastoreItem>
</file>

<file path=customXml/itemProps4.xml><?xml version="1.0" encoding="utf-8"?>
<ds:datastoreItem xmlns:ds="http://schemas.openxmlformats.org/officeDocument/2006/customXml" ds:itemID="{543AFA3F-FB59-4639-8BC1-50F0F5CADBE2}"/>
</file>

<file path=docMetadata/LabelInfo.xml><?xml version="1.0" encoding="utf-8"?>
<clbl:labelList xmlns:clbl="http://schemas.microsoft.com/office/2020/mipLabelMetadata">
  <clbl:label id="{2844ce84-9bbb-437f-ba89-7143b50cb6f9}" enabled="1" method="Privileged" siteId="{5d1e4fda-0538-439c-9c80-1b23f22ba746}" removed="0"/>
</clbl:labelList>
</file>

<file path=docProps/app.xml><?xml version="1.0" encoding="utf-8"?>
<Properties xmlns="http://schemas.openxmlformats.org/officeDocument/2006/extended-properties" xmlns:vt="http://schemas.openxmlformats.org/officeDocument/2006/docPropsVTypes">
  <Template>Procurement Benefits Tracker_140526</Template>
  <TotalTime>0</TotalTime>
  <Pages>6</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Yellow Balloon Ltd</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Wade</dc:creator>
  <cp:lastModifiedBy>Suzannah Higgins</cp:lastModifiedBy>
  <cp:revision>2</cp:revision>
  <cp:lastPrinted>2021-03-31T09:50:00Z</cp:lastPrinted>
  <dcterms:created xsi:type="dcterms:W3CDTF">2026-06-04T10:08:00Z</dcterms:created>
  <dcterms:modified xsi:type="dcterms:W3CDTF">2026-06-04T10:08:00Z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ies>
</file>